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78F4" w14:paraId="22239A6C" w14:textId="77777777" w:rsidTr="00CC78F4">
        <w:tc>
          <w:tcPr>
            <w:tcW w:w="4814" w:type="dxa"/>
          </w:tcPr>
          <w:p w14:paraId="764D7D13" w14:textId="1CC2AD29" w:rsidR="00CC78F4" w:rsidRDefault="00CC78F4" w:rsidP="00C6577B">
            <w:pPr>
              <w:spacing w:after="150" w:line="375" w:lineRule="atLeast"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u w:val="single"/>
                <w:lang w:eastAsia="it-IT"/>
              </w:rPr>
            </w:pPr>
            <w:r>
              <w:rPr>
                <w:rFonts w:ascii="Open Sans" w:eastAsia="Times New Roman" w:hAnsi="Open Sans" w:cs="Times New Roman"/>
                <w:noProof/>
                <w:color w:val="000000" w:themeColor="text1"/>
                <w:sz w:val="21"/>
                <w:szCs w:val="21"/>
                <w:u w:val="single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379CD51" wp14:editId="2FE76B37">
                  <wp:simplePos x="0" y="0"/>
                  <wp:positionH relativeFrom="column">
                    <wp:posOffset>145553</wp:posOffset>
                  </wp:positionH>
                  <wp:positionV relativeFrom="paragraph">
                    <wp:posOffset>111125</wp:posOffset>
                  </wp:positionV>
                  <wp:extent cx="1300312" cy="88259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12" cy="88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</w:tcPr>
          <w:p w14:paraId="15C42DF4" w14:textId="75C974F5" w:rsidR="00CC78F4" w:rsidRDefault="00CC78F4" w:rsidP="00C6577B">
            <w:pPr>
              <w:spacing w:after="150" w:line="375" w:lineRule="atLeast"/>
              <w:jc w:val="center"/>
              <w:rPr>
                <w:rFonts w:ascii="Open Sans" w:eastAsia="Times New Roman" w:hAnsi="Open Sans" w:cs="Times New Roman"/>
                <w:color w:val="000000" w:themeColor="text1"/>
                <w:sz w:val="21"/>
                <w:szCs w:val="21"/>
                <w:u w:val="single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3C452B5D" wp14:editId="4CEAA8D3">
                  <wp:simplePos x="0" y="0"/>
                  <wp:positionH relativeFrom="margin">
                    <wp:posOffset>471501</wp:posOffset>
                  </wp:positionH>
                  <wp:positionV relativeFrom="paragraph">
                    <wp:posOffset>221339</wp:posOffset>
                  </wp:positionV>
                  <wp:extent cx="2495550" cy="713105"/>
                  <wp:effectExtent l="0" t="0" r="0" b="0"/>
                  <wp:wrapSquare wrapText="bothSides"/>
                  <wp:docPr id="2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39D2FA" w14:textId="2C1D2963" w:rsidR="004D3E69" w:rsidRDefault="004D3E69" w:rsidP="00C6577B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Times New Roman"/>
          <w:color w:val="000000" w:themeColor="text1"/>
          <w:sz w:val="21"/>
          <w:szCs w:val="21"/>
          <w:u w:val="single"/>
          <w:lang w:eastAsia="it-IT"/>
        </w:rPr>
      </w:pPr>
    </w:p>
    <w:p w14:paraId="69C5F424" w14:textId="095F8502" w:rsidR="00C6577B" w:rsidRPr="00CC78F4" w:rsidRDefault="00C6577B" w:rsidP="00C6577B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it-IT"/>
        </w:rPr>
      </w:pPr>
      <w:r w:rsidRPr="00CC78F4">
        <w:rPr>
          <w:rFonts w:ascii="Open Sans" w:eastAsia="Times New Roman" w:hAnsi="Open Sans" w:cs="Times New Roman"/>
          <w:color w:val="000000" w:themeColor="text1"/>
          <w:sz w:val="21"/>
          <w:szCs w:val="21"/>
          <w:lang w:eastAsia="it-IT"/>
        </w:rPr>
        <w:t>COMUNICATO STAMPA</w:t>
      </w:r>
    </w:p>
    <w:p w14:paraId="677A962A" w14:textId="2C297488" w:rsidR="00C6577B" w:rsidRPr="000C5F7C" w:rsidRDefault="00C6577B" w:rsidP="00C6577B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Times New Roman"/>
          <w:color w:val="000000" w:themeColor="text1"/>
          <w:lang w:eastAsia="it-IT"/>
        </w:rPr>
      </w:pPr>
      <w:r w:rsidRPr="000C5F7C">
        <w:rPr>
          <w:rFonts w:ascii="Open Sans" w:eastAsia="Times New Roman" w:hAnsi="Open Sans" w:cs="Times New Roman"/>
          <w:b/>
          <w:bCs/>
          <w:color w:val="000000" w:themeColor="text1"/>
          <w:lang w:eastAsia="it-IT"/>
        </w:rPr>
        <w:t>ERASMUS+</w:t>
      </w:r>
      <w:r w:rsidR="0024029F">
        <w:rPr>
          <w:rFonts w:ascii="Open Sans" w:eastAsia="Times New Roman" w:hAnsi="Open Sans" w:cs="Times New Roman"/>
          <w:b/>
          <w:bCs/>
          <w:color w:val="000000" w:themeColor="text1"/>
          <w:lang w:eastAsia="it-IT"/>
        </w:rPr>
        <w:t>,</w:t>
      </w:r>
      <w:r w:rsidRPr="000C5F7C">
        <w:rPr>
          <w:rFonts w:ascii="Open Sans" w:eastAsia="Times New Roman" w:hAnsi="Open Sans" w:cs="Times New Roman"/>
          <w:b/>
          <w:bCs/>
          <w:color w:val="000000" w:themeColor="text1"/>
          <w:lang w:eastAsia="it-IT"/>
        </w:rPr>
        <w:t> AL VIA LA SETTIMANA EUROPEA</w:t>
      </w:r>
      <w:r w:rsidR="000C5F7C" w:rsidRPr="000C5F7C">
        <w:rPr>
          <w:rFonts w:ascii="Open Sans" w:eastAsia="Times New Roman" w:hAnsi="Open Sans" w:cs="Times New Roman"/>
          <w:b/>
          <w:bCs/>
          <w:color w:val="000000" w:themeColor="text1"/>
          <w:lang w:eastAsia="it-IT"/>
        </w:rPr>
        <w:t xml:space="preserve"> DELLE COMPETENZE PROFESSIONALI</w:t>
      </w:r>
    </w:p>
    <w:p w14:paraId="6D6C6ABD" w14:textId="1CAB1A31" w:rsidR="000C5F7C" w:rsidRPr="000C5F7C" w:rsidRDefault="00C6577B" w:rsidP="00C6577B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</w:pPr>
      <w:r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>Dal </w:t>
      </w:r>
      <w:r w:rsidR="00A45E3A"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 xml:space="preserve">16 </w:t>
      </w:r>
      <w:r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 xml:space="preserve">al </w:t>
      </w:r>
      <w:r w:rsidR="00A45E3A"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>20</w:t>
      </w:r>
      <w:r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 xml:space="preserve"> </w:t>
      </w:r>
      <w:r w:rsidR="00A45E3A"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>maggio</w:t>
      </w:r>
      <w:r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 xml:space="preserve"> una serie di incontri per </w:t>
      </w:r>
      <w:r w:rsidR="005D6E79"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>celebrare i 35 anni del Programma Erasmus+</w:t>
      </w:r>
      <w:r w:rsidR="004D073A"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 xml:space="preserve"> </w:t>
      </w:r>
      <w:r w:rsidR="00C97173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 xml:space="preserve">e </w:t>
      </w:r>
      <w:r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 xml:space="preserve">raccontare </w:t>
      </w:r>
      <w:r w:rsidR="004D073A"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 xml:space="preserve">il settore </w:t>
      </w:r>
      <w:r w:rsidRPr="000C5F7C">
        <w:rPr>
          <w:rFonts w:ascii="Open Sans" w:eastAsia="Times New Roman" w:hAnsi="Open Sans" w:cs="Times New Roman"/>
          <w:i/>
          <w:iCs/>
          <w:color w:val="000000" w:themeColor="text1"/>
          <w:u w:val="single"/>
          <w:lang w:eastAsia="it-IT"/>
        </w:rPr>
        <w:t>istruzione e formazione professionale</w:t>
      </w:r>
    </w:p>
    <w:p w14:paraId="64DFBE72" w14:textId="104D4ABF" w:rsidR="00C6577B" w:rsidRPr="000C5F7C" w:rsidRDefault="000C5F7C" w:rsidP="00C6577B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Times New Roman"/>
          <w:b/>
          <w:i/>
          <w:iCs/>
          <w:color w:val="000000" w:themeColor="text1"/>
          <w:sz w:val="32"/>
          <w:szCs w:val="32"/>
          <w:lang w:eastAsia="it-IT"/>
        </w:rPr>
      </w:pPr>
      <w:r w:rsidRPr="000C5F7C">
        <w:rPr>
          <w:rFonts w:ascii="Open Sans" w:eastAsia="Times New Roman" w:hAnsi="Open Sans" w:cs="Times New Roman"/>
          <w:b/>
          <w:iCs/>
          <w:color w:val="000000" w:themeColor="text1"/>
          <w:sz w:val="32"/>
          <w:szCs w:val="32"/>
          <w:lang w:eastAsia="it-IT"/>
        </w:rPr>
        <w:t xml:space="preserve">INAPP “ERASMUS+ UN SUCCESSO ITALIANO: NEL 2022 ARRIVATE </w:t>
      </w:r>
      <w:r w:rsidR="0030223F">
        <w:rPr>
          <w:rFonts w:ascii="Open Sans" w:eastAsia="Times New Roman" w:hAnsi="Open Sans" w:cs="Times New Roman"/>
          <w:b/>
          <w:iCs/>
          <w:color w:val="000000" w:themeColor="text1"/>
          <w:sz w:val="32"/>
          <w:szCs w:val="32"/>
          <w:lang w:eastAsia="it-IT"/>
        </w:rPr>
        <w:t>652</w:t>
      </w:r>
      <w:r w:rsidRPr="000C5F7C">
        <w:rPr>
          <w:rFonts w:ascii="Open Sans" w:eastAsia="Times New Roman" w:hAnsi="Open Sans" w:cs="Times New Roman"/>
          <w:b/>
          <w:iCs/>
          <w:color w:val="000000" w:themeColor="text1"/>
          <w:sz w:val="32"/>
          <w:szCs w:val="32"/>
          <w:lang w:eastAsia="it-IT"/>
        </w:rPr>
        <w:t xml:space="preserve"> PROPOSTE</w:t>
      </w:r>
      <w:r w:rsidR="006B6B39">
        <w:rPr>
          <w:rFonts w:ascii="Open Sans" w:eastAsia="Times New Roman" w:hAnsi="Open Sans" w:cs="Times New Roman"/>
          <w:b/>
          <w:iCs/>
          <w:color w:val="000000" w:themeColor="text1"/>
          <w:sz w:val="32"/>
          <w:szCs w:val="32"/>
          <w:lang w:eastAsia="it-IT"/>
        </w:rPr>
        <w:t xml:space="preserve"> </w:t>
      </w:r>
      <w:r w:rsidR="004478E0">
        <w:rPr>
          <w:rFonts w:ascii="Open Sans" w:eastAsia="Times New Roman" w:hAnsi="Open Sans" w:cs="Times New Roman"/>
          <w:b/>
          <w:iCs/>
          <w:color w:val="000000" w:themeColor="text1"/>
          <w:sz w:val="32"/>
          <w:szCs w:val="32"/>
          <w:lang w:eastAsia="it-IT"/>
        </w:rPr>
        <w:t>PROGETTUALI</w:t>
      </w:r>
      <w:r w:rsidRPr="000C5F7C">
        <w:rPr>
          <w:rFonts w:ascii="Open Sans" w:eastAsia="Times New Roman" w:hAnsi="Open Sans" w:cs="Times New Roman"/>
          <w:b/>
          <w:iCs/>
          <w:color w:val="000000" w:themeColor="text1"/>
          <w:sz w:val="32"/>
          <w:szCs w:val="32"/>
          <w:lang w:eastAsia="it-IT"/>
        </w:rPr>
        <w:t>, MOBILITATI 60 MILI</w:t>
      </w:r>
      <w:r w:rsidR="00371869">
        <w:rPr>
          <w:rFonts w:ascii="Open Sans" w:eastAsia="Times New Roman" w:hAnsi="Open Sans" w:cs="Times New Roman"/>
          <w:b/>
          <w:iCs/>
          <w:color w:val="000000" w:themeColor="text1"/>
          <w:sz w:val="32"/>
          <w:szCs w:val="32"/>
          <w:lang w:eastAsia="it-IT"/>
        </w:rPr>
        <w:t>O</w:t>
      </w:r>
      <w:r w:rsidRPr="000C5F7C">
        <w:rPr>
          <w:rFonts w:ascii="Open Sans" w:eastAsia="Times New Roman" w:hAnsi="Open Sans" w:cs="Times New Roman"/>
          <w:b/>
          <w:iCs/>
          <w:color w:val="000000" w:themeColor="text1"/>
          <w:sz w:val="32"/>
          <w:szCs w:val="32"/>
          <w:lang w:eastAsia="it-IT"/>
        </w:rPr>
        <w:t>NI DI EURO”</w:t>
      </w:r>
      <w:r w:rsidR="00C6577B" w:rsidRPr="000C5F7C">
        <w:rPr>
          <w:rFonts w:ascii="Open Sans" w:eastAsia="Times New Roman" w:hAnsi="Open Sans" w:cs="Times New Roman"/>
          <w:b/>
          <w:i/>
          <w:iCs/>
          <w:color w:val="000000" w:themeColor="text1"/>
          <w:sz w:val="32"/>
          <w:szCs w:val="32"/>
          <w:lang w:eastAsia="it-IT"/>
        </w:rPr>
        <w:t xml:space="preserve"> </w:t>
      </w:r>
    </w:p>
    <w:p w14:paraId="1EC762BC" w14:textId="003942E1" w:rsidR="00F46E14" w:rsidRPr="002D4243" w:rsidRDefault="000C5F7C" w:rsidP="00C6577B">
      <w:pPr>
        <w:shd w:val="clear" w:color="auto" w:fill="FFFFFF"/>
        <w:spacing w:after="150" w:line="375" w:lineRule="atLeast"/>
        <w:jc w:val="center"/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u w:val="single"/>
          <w:lang w:eastAsia="it-IT"/>
        </w:rPr>
      </w:pPr>
      <w:r w:rsidRPr="002D4243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u w:val="single"/>
          <w:lang w:eastAsia="it-IT"/>
        </w:rPr>
        <w:t>I</w:t>
      </w:r>
      <w:r w:rsidR="00F46E14" w:rsidRPr="002D4243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u w:val="single"/>
          <w:lang w:eastAsia="it-IT"/>
        </w:rPr>
        <w:t xml:space="preserve">l settore </w:t>
      </w:r>
      <w:r w:rsidR="002B6604" w:rsidRPr="002D4243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u w:val="single"/>
          <w:lang w:eastAsia="it-IT"/>
        </w:rPr>
        <w:t>istruzione e formazione professionale</w:t>
      </w:r>
      <w:r w:rsidR="00F46E14" w:rsidRPr="002D4243">
        <w:rPr>
          <w:rFonts w:ascii="Open Sans" w:eastAsia="Times New Roman" w:hAnsi="Open Sans" w:cs="Times New Roman"/>
          <w:i/>
          <w:iCs/>
          <w:color w:val="000000" w:themeColor="text1"/>
          <w:sz w:val="27"/>
          <w:szCs w:val="27"/>
          <w:u w:val="single"/>
          <w:lang w:eastAsia="it-IT"/>
        </w:rPr>
        <w:t xml:space="preserve"> dal 2014 ad oggi:</w:t>
      </w:r>
    </w:p>
    <w:p w14:paraId="5D0F0B69" w14:textId="0E1890F4" w:rsidR="00370C20" w:rsidRPr="00336EAA" w:rsidRDefault="00370C20" w:rsidP="00370C20">
      <w:pPr>
        <w:pStyle w:val="Paragrafoelenco"/>
        <w:numPr>
          <w:ilvl w:val="0"/>
          <w:numId w:val="2"/>
        </w:numPr>
        <w:shd w:val="clear" w:color="auto" w:fill="FFFFFF"/>
        <w:spacing w:after="150" w:line="375" w:lineRule="atLeast"/>
        <w:rPr>
          <w:rFonts w:ascii="Open Sans" w:eastAsia="Times New Roman" w:hAnsi="Open Sans" w:cs="Times New Roman"/>
          <w:i/>
          <w:iCs/>
          <w:sz w:val="27"/>
          <w:szCs w:val="27"/>
          <w:u w:val="single"/>
          <w:lang w:eastAsia="it-IT"/>
        </w:rPr>
      </w:pPr>
      <w:r w:rsidRPr="00336EAA">
        <w:rPr>
          <w:rFonts w:ascii="Open Sans" w:eastAsia="Times New Roman" w:hAnsi="Open Sans" w:cs="Times New Roman"/>
          <w:i/>
          <w:iCs/>
          <w:sz w:val="27"/>
          <w:szCs w:val="27"/>
          <w:u w:val="single"/>
          <w:lang w:eastAsia="it-IT"/>
        </w:rPr>
        <w:t xml:space="preserve">415 milioni di euro </w:t>
      </w:r>
      <w:r w:rsidR="008A6627">
        <w:rPr>
          <w:rFonts w:ascii="Open Sans" w:eastAsia="Times New Roman" w:hAnsi="Open Sans" w:cs="Times New Roman"/>
          <w:i/>
          <w:iCs/>
          <w:sz w:val="27"/>
          <w:szCs w:val="27"/>
          <w:u w:val="single"/>
          <w:lang w:eastAsia="it-IT"/>
        </w:rPr>
        <w:t>di finanziamento disponibile</w:t>
      </w:r>
    </w:p>
    <w:p w14:paraId="2535B2F5" w14:textId="77777777" w:rsidR="00370C20" w:rsidRPr="00336EAA" w:rsidRDefault="00370C20" w:rsidP="00370C20">
      <w:pPr>
        <w:pStyle w:val="Paragrafoelenco"/>
        <w:numPr>
          <w:ilvl w:val="0"/>
          <w:numId w:val="2"/>
        </w:numPr>
        <w:shd w:val="clear" w:color="auto" w:fill="FFFFFF"/>
        <w:spacing w:after="150" w:line="375" w:lineRule="atLeast"/>
        <w:rPr>
          <w:rFonts w:ascii="Open Sans" w:eastAsia="Times New Roman" w:hAnsi="Open Sans" w:cs="Times New Roman"/>
          <w:i/>
          <w:iCs/>
          <w:sz w:val="27"/>
          <w:szCs w:val="27"/>
          <w:u w:val="single"/>
          <w:lang w:eastAsia="it-IT"/>
        </w:rPr>
      </w:pPr>
      <w:r w:rsidRPr="00336EAA">
        <w:rPr>
          <w:rFonts w:ascii="Open Sans" w:eastAsia="Times New Roman" w:hAnsi="Open Sans" w:cs="Times New Roman"/>
          <w:i/>
          <w:iCs/>
          <w:sz w:val="27"/>
          <w:szCs w:val="27"/>
          <w:u w:val="single"/>
          <w:lang w:eastAsia="it-IT"/>
        </w:rPr>
        <w:t xml:space="preserve">53.000 partecipanti alla mobilità </w:t>
      </w:r>
    </w:p>
    <w:p w14:paraId="181F257E" w14:textId="77777777" w:rsidR="00370C20" w:rsidRPr="00336EAA" w:rsidRDefault="00370C20" w:rsidP="00370C20">
      <w:pPr>
        <w:pStyle w:val="Paragrafoelenco"/>
        <w:numPr>
          <w:ilvl w:val="0"/>
          <w:numId w:val="2"/>
        </w:numPr>
        <w:shd w:val="clear" w:color="auto" w:fill="FFFFFF"/>
        <w:spacing w:after="150" w:line="375" w:lineRule="atLeast"/>
        <w:rPr>
          <w:rFonts w:ascii="Open Sans" w:eastAsia="Times New Roman" w:hAnsi="Open Sans" w:cs="Times New Roman"/>
          <w:i/>
          <w:iCs/>
          <w:sz w:val="27"/>
          <w:szCs w:val="27"/>
          <w:u w:val="single"/>
          <w:lang w:eastAsia="it-IT"/>
        </w:rPr>
      </w:pPr>
      <w:r w:rsidRPr="00336EAA">
        <w:rPr>
          <w:rFonts w:ascii="Open Sans" w:eastAsia="Times New Roman" w:hAnsi="Open Sans" w:cs="Times New Roman"/>
          <w:i/>
          <w:iCs/>
          <w:sz w:val="27"/>
          <w:szCs w:val="27"/>
          <w:u w:val="single"/>
          <w:lang w:eastAsia="it-IT"/>
        </w:rPr>
        <w:t xml:space="preserve">9.400 partecipanti con minori opportunità </w:t>
      </w:r>
    </w:p>
    <w:p w14:paraId="7DEE06FF" w14:textId="77777777" w:rsidR="00370C20" w:rsidRPr="00336EAA" w:rsidRDefault="00370C20" w:rsidP="00370C20">
      <w:pPr>
        <w:pStyle w:val="Paragrafoelenco"/>
        <w:numPr>
          <w:ilvl w:val="0"/>
          <w:numId w:val="2"/>
        </w:numPr>
        <w:shd w:val="clear" w:color="auto" w:fill="FFFFFF"/>
        <w:spacing w:after="150" w:line="375" w:lineRule="atLeast"/>
        <w:rPr>
          <w:rFonts w:ascii="Open Sans" w:eastAsia="Times New Roman" w:hAnsi="Open Sans" w:cs="Times New Roman"/>
          <w:i/>
          <w:iCs/>
          <w:sz w:val="27"/>
          <w:szCs w:val="27"/>
          <w:u w:val="single"/>
          <w:lang w:eastAsia="it-IT"/>
        </w:rPr>
      </w:pPr>
      <w:r w:rsidRPr="00336EAA">
        <w:rPr>
          <w:rFonts w:ascii="Open Sans" w:eastAsia="Times New Roman" w:hAnsi="Open Sans" w:cs="Times New Roman"/>
          <w:i/>
          <w:iCs/>
          <w:sz w:val="27"/>
          <w:szCs w:val="27"/>
          <w:u w:val="single"/>
          <w:lang w:eastAsia="it-IT"/>
        </w:rPr>
        <w:t>5.565 candidature ricevute</w:t>
      </w:r>
    </w:p>
    <w:p w14:paraId="49119532" w14:textId="77777777" w:rsidR="00047E90" w:rsidRPr="006A6A64" w:rsidRDefault="00047E90" w:rsidP="00047E90">
      <w:pPr>
        <w:shd w:val="clear" w:color="auto" w:fill="FFFFFF"/>
        <w:spacing w:after="150" w:line="375" w:lineRule="atLeast"/>
        <w:jc w:val="both"/>
        <w:rPr>
          <w:rFonts w:ascii="Open Sans" w:eastAsia="Times New Roman" w:hAnsi="Open Sans" w:cs="Times New Roman"/>
          <w:color w:val="000000" w:themeColor="text1"/>
          <w:sz w:val="23"/>
          <w:szCs w:val="23"/>
          <w:lang w:eastAsia="it-IT"/>
        </w:rPr>
      </w:pPr>
      <w:r w:rsidRPr="00127E3A">
        <w:rPr>
          <w:rFonts w:ascii="Open Sans" w:eastAsia="Times New Roman" w:hAnsi="Open Sans" w:cs="Times New Roman"/>
          <w:b/>
          <w:bCs/>
          <w:i/>
          <w:iCs/>
          <w:color w:val="000000" w:themeColor="text1"/>
          <w:sz w:val="23"/>
          <w:szCs w:val="23"/>
          <w:lang w:eastAsia="it-IT"/>
        </w:rPr>
        <w:t>FADDA: “Con 35 anni di storia alle spalle il Programma Erasmus+ si conferma una realtà di successo che mette a disposizione dei giovani e dei professionisti preziose opportunità di apprendimento all’estero, arricchendo i percorsi formativi e sostenendo lo sviluppo di competenze sempre più necessarie per rispondere ai bisogni del mercato del lavoro in evoluzione, alla luce delle transizioni verde e digitale”</w:t>
      </w:r>
    </w:p>
    <w:p w14:paraId="0428E172" w14:textId="77777777" w:rsidR="000C5F7C" w:rsidRDefault="000C5F7C" w:rsidP="00F34E37">
      <w:pPr>
        <w:jc w:val="both"/>
        <w:rPr>
          <w:rFonts w:ascii="Open Sans" w:eastAsia="Times New Roman" w:hAnsi="Open Sans" w:cs="Open Sans"/>
          <w:color w:val="000000" w:themeColor="text1"/>
          <w:lang w:eastAsia="it-IT"/>
        </w:rPr>
      </w:pPr>
    </w:p>
    <w:p w14:paraId="13A49B44" w14:textId="3DC786CC" w:rsidR="003A7384" w:rsidRPr="000C5F7C" w:rsidRDefault="000C5F7C" w:rsidP="000C5F7C">
      <w:p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Roma, </w:t>
      </w:r>
      <w:r w:rsidR="00CC78F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16 </w:t>
      </w:r>
      <w:r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maggio 2022 - </w:t>
      </w:r>
      <w:r w:rsidR="00CC444E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Il Programma Erasmus + n</w:t>
      </w:r>
      <w:r w:rsidR="003A738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on si è fermato durante la pandemia, adesso torna in presenza e ancora più ricco</w:t>
      </w:r>
      <w:r w:rsidR="008206B8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,</w:t>
      </w:r>
      <w:r w:rsidR="003A738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con una dotazione finanziaria raddoppiata a 28 miliardi di euro per il nuovo settennato che punterà soprattutto sulla transizione digitale e i </w:t>
      </w:r>
      <w:r w:rsidR="003A7384" w:rsidRPr="00183AEA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green jobs</w:t>
      </w:r>
      <w:r w:rsidR="003A738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. Per l’Italia un ruolo da protagonista, vista la capacità di spendere i fondi a disposizione (</w:t>
      </w:r>
      <w:r w:rsidR="003A7384" w:rsidRPr="00371869">
        <w:rPr>
          <w:rFonts w:asciiTheme="majorHAnsi" w:eastAsia="Times New Roman" w:hAnsiTheme="majorHAnsi" w:cstheme="majorHAnsi"/>
          <w:lang w:eastAsia="it-IT"/>
        </w:rPr>
        <w:t xml:space="preserve">99% </w:t>
      </w:r>
      <w:r w:rsidR="003A738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dal 2014 al 2021) e il ruolo che l’Agenzia Nazionale Erasmus+ INAPP ricopre nella formazione e istruzione professionale. Sarà </w:t>
      </w:r>
      <w:r w:rsidR="008206B8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quest’ultima, infatti,</w:t>
      </w:r>
      <w:r w:rsidR="003A738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ad organizzare nel nostro Paese</w:t>
      </w:r>
      <w:r w:rsidR="006E64FB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3A738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dal 16 al 20 maggio la </w:t>
      </w:r>
      <w:r w:rsidR="00083582" w:rsidRPr="00083582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Settimana </w:t>
      </w:r>
      <w:r w:rsidR="004478E0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e</w:t>
      </w:r>
      <w:r w:rsidR="00083582" w:rsidRPr="00083582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uropea delle </w:t>
      </w:r>
      <w:r w:rsidR="004478E0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c</w:t>
      </w:r>
      <w:r w:rsidR="00083582" w:rsidRPr="00083582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ompetenze </w:t>
      </w:r>
      <w:r w:rsidR="004478E0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p</w:t>
      </w:r>
      <w:r w:rsidR="00083582" w:rsidRPr="00083582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rofessionali</w:t>
      </w:r>
      <w:r w:rsidR="00284853" w:rsidRPr="0030223F">
        <w:rPr>
          <w:rFonts w:asciiTheme="majorHAnsi" w:eastAsia="Times New Roman" w:hAnsiTheme="majorHAnsi" w:cstheme="majorHAnsi"/>
          <w:color w:val="000000" w:themeColor="text1"/>
          <w:lang w:eastAsia="it-IT"/>
        </w:rPr>
        <w:t>.</w:t>
      </w:r>
    </w:p>
    <w:p w14:paraId="533C29F9" w14:textId="14644D3D" w:rsidR="00290E5C" w:rsidRDefault="003A7384" w:rsidP="000C5F7C">
      <w:p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 successo </w:t>
      </w:r>
      <w:r w:rsidR="00DD315B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crescente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di Erasmus+ è confermato dai numeri significativi di candidature ricevute</w:t>
      </w:r>
      <w:r w:rsidR="006B6B39">
        <w:rPr>
          <w:rFonts w:asciiTheme="majorHAnsi" w:eastAsia="Times New Roman" w:hAnsiTheme="majorHAnsi" w:cstheme="majorHAnsi"/>
          <w:color w:val="000000" w:themeColor="text1"/>
          <w:lang w:eastAsia="it-IT"/>
        </w:rPr>
        <w:t>, 652 in tutto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. L’INAPP ha, difatti, ricevuto nel </w:t>
      </w:r>
      <w:r w:rsidRPr="000C5F7C">
        <w:rPr>
          <w:rFonts w:asciiTheme="majorHAnsi" w:eastAsia="Times New Roman" w:hAnsiTheme="majorHAnsi" w:cstheme="majorHAnsi"/>
          <w:b/>
          <w:color w:val="000000" w:themeColor="text1"/>
          <w:lang w:eastAsia="it-IT"/>
        </w:rPr>
        <w:t>2022 ben 457 proposte progettuali per la mobilità individuale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ai fini di apprendimento (</w:t>
      </w:r>
      <w:r w:rsidR="00290E5C">
        <w:rPr>
          <w:rFonts w:asciiTheme="majorHAnsi" w:eastAsia="Times New Roman" w:hAnsiTheme="majorHAnsi" w:cstheme="majorHAnsi"/>
          <w:color w:val="000000" w:themeColor="text1"/>
          <w:lang w:eastAsia="it-IT"/>
        </w:rPr>
        <w:t>+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35% rispetto al 2021) nonché </w:t>
      </w:r>
      <w:r w:rsidRPr="00371869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195 candidature per lo sviluppo di Partenariati per la Cooperazione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, a fronte di </w:t>
      </w:r>
      <w:r w:rsidRPr="000C5F7C">
        <w:rPr>
          <w:rFonts w:asciiTheme="majorHAnsi" w:eastAsia="Times New Roman" w:hAnsiTheme="majorHAnsi" w:cstheme="majorHAnsi"/>
          <w:b/>
          <w:color w:val="000000" w:themeColor="text1"/>
          <w:lang w:eastAsia="it-IT"/>
        </w:rPr>
        <w:t>una d</w:t>
      </w:r>
      <w:r w:rsidR="000C5F7C">
        <w:rPr>
          <w:rFonts w:asciiTheme="majorHAnsi" w:eastAsia="Times New Roman" w:hAnsiTheme="majorHAnsi" w:cstheme="majorHAnsi"/>
          <w:b/>
          <w:color w:val="000000" w:themeColor="text1"/>
          <w:lang w:eastAsia="it-IT"/>
        </w:rPr>
        <w:t>otazione finanziaria per questo anno</w:t>
      </w:r>
      <w:r w:rsidRPr="000C5F7C">
        <w:rPr>
          <w:rFonts w:asciiTheme="majorHAnsi" w:eastAsia="Times New Roman" w:hAnsiTheme="majorHAnsi" w:cstheme="majorHAnsi"/>
          <w:b/>
          <w:color w:val="000000" w:themeColor="text1"/>
          <w:lang w:eastAsia="it-IT"/>
        </w:rPr>
        <w:t xml:space="preserve"> di circa 60 milioni di euro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per </w:t>
      </w:r>
      <w:r w:rsidR="00C97173">
        <w:rPr>
          <w:rFonts w:asciiTheme="majorHAnsi" w:eastAsia="Times New Roman" w:hAnsiTheme="majorHAnsi" w:cstheme="majorHAnsi"/>
          <w:color w:val="000000" w:themeColor="text1"/>
          <w:lang w:eastAsia="it-IT"/>
        </w:rPr>
        <w:t>il settore</w:t>
      </w:r>
      <w:r w:rsidR="00C9717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istruzione e formazione professionale. </w:t>
      </w:r>
    </w:p>
    <w:p w14:paraId="279CB360" w14:textId="58B615EE" w:rsidR="006F7396" w:rsidRPr="000C5F7C" w:rsidRDefault="003A7384" w:rsidP="000C5F7C">
      <w:p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Se poi si prende in considerazione il periodo dal 2014 ad oggi, </w:t>
      </w:r>
      <w:r w:rsidR="00290E5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si contano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5.565 i progetti presentati in Italia per </w:t>
      </w:r>
      <w:r w:rsidR="00C97173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 </w:t>
      </w:r>
      <w:r w:rsidR="00464314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settore </w:t>
      </w:r>
      <w:r w:rsidR="0046431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istruzione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e formazione professionale, in particolare 3.432 di Mobilità (di cui 1.050 finanziati) e 2.133 di Partenariati Strategici e Partenariati per la Cooperazione (di cui 365 finanziati). Significativo, si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lastRenderedPageBreak/>
        <w:t xml:space="preserve">conferma l’investimento della Commissione europea e degli Stati membri dell’UE che hanno messo a disposizione dell’Italia, nel periodo 2014-2022, una dotazione finanziaria Erasmus+ che supera i 415 milioni di euro per </w:t>
      </w:r>
      <w:r w:rsidR="00C9717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le azioni decentrate </w:t>
      </w:r>
      <w:r w:rsidR="00C97173">
        <w:rPr>
          <w:rFonts w:asciiTheme="majorHAnsi" w:eastAsia="Times New Roman" w:hAnsiTheme="majorHAnsi" w:cstheme="majorHAnsi"/>
          <w:color w:val="000000" w:themeColor="text1"/>
          <w:lang w:eastAsia="it-IT"/>
        </w:rPr>
        <w:t>del settore</w:t>
      </w:r>
      <w:r w:rsidR="00C9717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istruzione e formazione professionale gestite da INAPP.</w:t>
      </w:r>
    </w:p>
    <w:p w14:paraId="158BDB49" w14:textId="0498AFD3" w:rsidR="000C5F7C" w:rsidRPr="000C5F7C" w:rsidRDefault="000C5F7C" w:rsidP="000C5F7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“Con circa </w:t>
      </w:r>
      <w:r w:rsidRPr="000C5F7C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53</w:t>
      </w:r>
      <w:r w:rsidR="00083582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mila</w:t>
      </w:r>
      <w:r w:rsidRPr="000C5F7C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 partecipanti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 alle esperienze di </w:t>
      </w:r>
      <w:bookmarkStart w:id="0" w:name="_Hlk102047075"/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mobilità transnazionale realizzate dal 2014 ad oggi</w:t>
      </w:r>
      <w:bookmarkEnd w:id="0"/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, l’Agenzia Nazionale Erasmus+ INAPP conferma di aver raggiunto importanti risultati nel segmento istruzione e formazione professionale del Programma – ha spiegato il presidente dell’INAPP, prof. </w:t>
      </w:r>
      <w:r w:rsidRPr="000C5F7C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Sebastiano Fadda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 – apportando, con alcuni dei progetti finanziati quest’anno, un contributo rilevante al tema della </w:t>
      </w:r>
      <w:bookmarkStart w:id="1" w:name="_Hlk102380088"/>
      <w:r w:rsidR="004478E0" w:rsidRPr="00290E5C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S</w:t>
      </w:r>
      <w:r w:rsidR="004478E0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ettimana europea delle competenze professionali</w:t>
      </w:r>
      <w:bookmarkEnd w:id="1"/>
      <w:r w:rsidR="00F647E2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 xml:space="preserve">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2022 dedicata al contributo di Erasmus+ alla transizione verde, in linea con l’attenzione dedicata dalla Commissione europea a rispondere alle sfide del cambiamento climatico attraverso lo </w:t>
      </w:r>
      <w:r w:rsidRPr="000C5F7C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European Green Deal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”.</w:t>
      </w:r>
    </w:p>
    <w:p w14:paraId="24715FF9" w14:textId="236A2624" w:rsidR="004C6C55" w:rsidRPr="000C5F7C" w:rsidRDefault="00570092" w:rsidP="000C5F7C">
      <w:pPr>
        <w:spacing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Di </w:t>
      </w:r>
      <w:r w:rsidR="00083582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tutto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questo si parlerà a </w:t>
      </w:r>
      <w:r w:rsidR="00C6577B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Roma,</w:t>
      </w:r>
      <w:r w:rsidR="00A45E3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d</w:t>
      </w:r>
      <w:r w:rsidR="00C6577B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al </w:t>
      </w:r>
      <w:r w:rsidR="00A45E3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16 al 20 maggio</w:t>
      </w:r>
      <w:r w:rsidR="00024CB5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, in occasione del</w:t>
      </w:r>
      <w:r w:rsidR="0025087B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la</w:t>
      </w:r>
      <w:r w:rsidR="0025087B" w:rsidRPr="000C5F7C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 </w:t>
      </w:r>
      <w:r w:rsidR="00290E5C" w:rsidRPr="00290E5C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S</w:t>
      </w:r>
      <w:r w:rsidR="00290E5C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ettimana europea delle competenze professionali</w:t>
      </w:r>
      <w:r w:rsidR="004C6C55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,</w:t>
      </w:r>
      <w:r w:rsidR="00F85DFB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un’iniziativa promossa dalla Commissione europea che </w:t>
      </w:r>
      <w:r w:rsidR="00127E3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mira a celebrare </w:t>
      </w:r>
      <w:r w:rsidR="00F85DFB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le </w:t>
      </w:r>
      <w:r w:rsidR="00127E3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pratiche di eccellenza</w:t>
      </w:r>
      <w:r w:rsidR="00F85DFB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in materia di istruzione e formazione professionale</w:t>
      </w:r>
      <w:r w:rsidR="00E13E06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. </w:t>
      </w:r>
      <w:r w:rsidR="003A65DF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L’iniziativa, l</w:t>
      </w:r>
      <w:r w:rsidR="00E13E06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anciata nel 2016 </w:t>
      </w:r>
      <w:r w:rsidR="003A65DF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e</w:t>
      </w:r>
      <w:r w:rsidR="00E13E06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giunta quest’anno alla </w:t>
      </w:r>
      <w:r w:rsidR="004C6C55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sesta </w:t>
      </w:r>
      <w:r w:rsidR="00AA298C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edizione, avrà</w:t>
      </w:r>
      <w:r w:rsidR="00E13E06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come tema </w:t>
      </w:r>
      <w:r w:rsidR="00AA298C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centrale </w:t>
      </w:r>
      <w:r w:rsidR="006A6A6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il valore della formazione professionale e</w:t>
      </w:r>
      <w:r w:rsidR="000816DE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, in particolare,</w:t>
      </w:r>
      <w:r w:rsidR="006A6A6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le opportunità offerte dai </w:t>
      </w:r>
      <w:r w:rsidR="006A6A64" w:rsidRPr="00B4785F">
        <w:rPr>
          <w:rFonts w:asciiTheme="majorHAnsi" w:eastAsia="Times New Roman" w:hAnsiTheme="majorHAnsi" w:cstheme="majorHAnsi"/>
          <w:i/>
          <w:iCs/>
          <w:color w:val="000000" w:themeColor="text1"/>
          <w:lang w:eastAsia="it-IT"/>
        </w:rPr>
        <w:t>green jobs</w:t>
      </w:r>
      <w:r w:rsidR="006A6A6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AA298C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e</w:t>
      </w:r>
      <w:r w:rsidR="00DC1DD5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6A6A6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dal</w:t>
      </w:r>
      <w:r w:rsidR="00DC1DD5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la transizione verde</w:t>
      </w:r>
      <w:r w:rsidR="003A65DF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.</w:t>
      </w:r>
    </w:p>
    <w:p w14:paraId="53604D3F" w14:textId="4C996427" w:rsidR="00C6577B" w:rsidRPr="000C5F7C" w:rsidRDefault="00F85DFB" w:rsidP="000C5F7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L</w:t>
      </w:r>
      <w:r w:rsidR="00A45E3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’Agenzia</w:t>
      </w:r>
      <w:r w:rsidR="00C6577B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Nazionale Erasmus+ INAPP ha organizzato una serie di incontri, conferenze e presentazioni delle migliori esperienze per far conoscere e valorizzare il potenziale dell'istruzione e della formazione professionale</w:t>
      </w:r>
      <w:r w:rsidR="00AA298C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, </w:t>
      </w:r>
      <w:r w:rsidR="00771B88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anche</w:t>
      </w:r>
      <w:r w:rsidR="00863611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per lo</w:t>
      </w:r>
      <w:r w:rsidR="00771B88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AA298C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sviluppo d</w:t>
      </w:r>
      <w:r w:rsidR="00771B88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 metodologie, strategie e delle</w:t>
      </w:r>
      <w:r w:rsidR="00AA298C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771B88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competenze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necessarie ad intercettare le opportunità lavorative che la </w:t>
      </w:r>
      <w:r w:rsidR="00BA16F1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transizione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verde e l’impegno</w:t>
      </w:r>
      <w:r w:rsidR="00BA16F1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per </w:t>
      </w:r>
      <w:r w:rsidR="00AA298C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la sostenibilità ambientale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stanno mettendo a disposizione</w:t>
      </w:r>
      <w:r w:rsidR="00BA16F1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.</w:t>
      </w:r>
      <w:r w:rsidR="00AA298C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</w:p>
    <w:p w14:paraId="77DD3E98" w14:textId="094ED8AD" w:rsidR="00A45E3A" w:rsidRPr="000C5F7C" w:rsidRDefault="00E64BFB" w:rsidP="000C5F7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 primo appuntamento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sarà il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seminario transnazionale "Erasmus+ and green jobs", che si terrà a </w:t>
      </w:r>
      <w:r w:rsidR="00B6379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Roma il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18 maggio, </w:t>
      </w:r>
      <w:r w:rsidR="00863611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con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lo scopo di promuovere </w:t>
      </w:r>
      <w:r w:rsidR="00B2242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un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fruttuoso</w:t>
      </w:r>
      <w:r w:rsidR="00B2242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scambio di esperienze, strumenti e pratiche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green</w:t>
      </w:r>
      <w:r w:rsidR="00B2242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tra organismi di formazione europei impegnati nel sostegno dell'occupazione verde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per rispondere</w:t>
      </w:r>
      <w:r w:rsidR="00B2242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a</w:t>
      </w:r>
      <w:r w:rsidR="00B2242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lle esigenze di qualificazione e riqualificazione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necessarie ad</w:t>
      </w:r>
      <w:r w:rsidR="00B2242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affrontare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</w:t>
      </w:r>
      <w:r w:rsidR="00B2242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cambiamenti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in corso </w:t>
      </w:r>
      <w:r w:rsidR="00B2242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nel m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ercato</w:t>
      </w:r>
      <w:r w:rsidR="00B22423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del lavoro.</w:t>
      </w:r>
    </w:p>
    <w:p w14:paraId="54922639" w14:textId="4F014FE1" w:rsidR="0030223F" w:rsidRDefault="00E64BFB" w:rsidP="000C5F7C">
      <w:pPr>
        <w:spacing w:afterLines="150" w:after="36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 secondo appuntamento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sarà</w:t>
      </w:r>
      <w:r w:rsidR="00863611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il seminario</w:t>
      </w:r>
      <w:r w:rsidR="00B63794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tematico </w:t>
      </w:r>
      <w:r w:rsidR="00863611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“Sfide e opportunità per una transizione ecologica. Il contributo del Programma Erasmus+”</w:t>
      </w:r>
      <w:r w:rsidR="00750B5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che si </w:t>
      </w:r>
      <w:r w:rsidR="0018138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svolgerà</w:t>
      </w:r>
      <w:r w:rsidR="00750B5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il 19 maggio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. Le questioni ambientali e </w:t>
      </w:r>
      <w:r w:rsidR="00750B5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di sostenibilità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sono al centro del programma Erasmus+ e sono state efficacemente affrontate da diverse</w:t>
      </w:r>
      <w:r w:rsidR="00750B5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iniziative progettuali nel campo dell'</w:t>
      </w:r>
      <w:r w:rsidR="009C4041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istruzione e formazione professionale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. In questo contesto, il seminario</w:t>
      </w:r>
      <w:r w:rsidR="00750B5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tematico mira a fare il punto sui</w:t>
      </w:r>
      <w:r w:rsidR="00750B5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risultati raggiunti per</w:t>
      </w:r>
      <w:r w:rsidR="00750B5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sfruttarli efficacemente e </w:t>
      </w:r>
      <w:r w:rsidR="00750B5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spirare ulteriori iniziative di successo.</w:t>
      </w:r>
      <w:r w:rsid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</w:p>
    <w:p w14:paraId="070DB795" w14:textId="27F53863" w:rsidR="0092413A" w:rsidRPr="000C5F7C" w:rsidRDefault="00BA16F1" w:rsidP="000C5F7C">
      <w:pPr>
        <w:spacing w:afterLines="150" w:after="36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 terzo e ultimo appuntamento 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è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per il 20 maggio con la Conferenza di chiusura della settimana</w:t>
      </w:r>
      <w:r w:rsidR="0092413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e volta a celebrare i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35 anni di Er</w:t>
      </w:r>
      <w:r w:rsidR="00750B5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a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smus</w:t>
      </w:r>
      <w:r w:rsidR="0092413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valorizzando, in particolare, </w:t>
      </w:r>
      <w:r w:rsidR="0030223F">
        <w:rPr>
          <w:rFonts w:asciiTheme="majorHAnsi" w:eastAsia="Times New Roman" w:hAnsiTheme="majorHAnsi" w:cstheme="majorHAnsi"/>
          <w:color w:val="000000" w:themeColor="text1"/>
          <w:lang w:eastAsia="it-IT"/>
        </w:rPr>
        <w:t>il settore</w:t>
      </w:r>
      <w:r w:rsidR="0030223F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9806A0">
        <w:rPr>
          <w:rFonts w:asciiTheme="majorHAnsi" w:eastAsia="Times New Roman" w:hAnsiTheme="majorHAnsi" w:cstheme="majorHAnsi"/>
          <w:color w:val="000000" w:themeColor="text1"/>
          <w:lang w:eastAsia="it-IT"/>
        </w:rPr>
        <w:t>i</w:t>
      </w:r>
      <w:r w:rsidR="009806A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struzione </w:t>
      </w:r>
      <w:r w:rsidR="0092413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e </w:t>
      </w:r>
      <w:r w:rsidR="009806A0">
        <w:rPr>
          <w:rFonts w:asciiTheme="majorHAnsi" w:eastAsia="Times New Roman" w:hAnsiTheme="majorHAnsi" w:cstheme="majorHAnsi"/>
          <w:color w:val="000000" w:themeColor="text1"/>
          <w:lang w:eastAsia="it-IT"/>
        </w:rPr>
        <w:t>f</w:t>
      </w:r>
      <w:r w:rsidR="009806A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ormazione </w:t>
      </w:r>
      <w:r w:rsidR="0092413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professionale</w:t>
      </w:r>
      <w:r w:rsidR="0094504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.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B40CCD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La conferenza prevede una </w:t>
      </w:r>
      <w:r w:rsidR="001D0DE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prima sessione a cui </w:t>
      </w:r>
      <w:r w:rsidR="00B40CCD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partecip</w:t>
      </w:r>
      <w:r w:rsidR="001D0DE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eranno </w:t>
      </w:r>
      <w:r w:rsidR="00B40CCD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rappresentanti istituzionali italiani</w:t>
      </w:r>
      <w:r w:rsidR="00CD7639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, in particolare il sottosegretario del Ministero del Lavoro e delle Politiche Sociali, </w:t>
      </w:r>
      <w:r w:rsidR="00CD7639" w:rsidRPr="00CD7639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sen. Rossella Accoto</w:t>
      </w:r>
      <w:r w:rsidR="00B40CCD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ed europei</w:t>
      </w:r>
      <w:r w:rsidR="00CD7639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con la rappresentante dell’Unione Europea, </w:t>
      </w:r>
      <w:r w:rsidR="00CD7639" w:rsidRPr="002D4243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Joanna </w:t>
      </w:r>
      <w:proofErr w:type="spellStart"/>
      <w:r w:rsidR="00CD7639" w:rsidRPr="002D4243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Basztura</w:t>
      </w:r>
      <w:proofErr w:type="spellEnd"/>
      <w:r w:rsidR="00CD7639">
        <w:rPr>
          <w:rFonts w:ascii="Helvetica" w:hAnsi="Helvetica" w:cs="Helvetica"/>
          <w:color w:val="1F497D"/>
          <w:sz w:val="20"/>
          <w:szCs w:val="20"/>
          <w:shd w:val="clear" w:color="auto" w:fill="FFFFFF"/>
        </w:rPr>
        <w:t xml:space="preserve"> </w:t>
      </w:r>
      <w:r w:rsidR="001D0DE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oltre a una selezione di storie di successo raccontate </w:t>
      </w:r>
      <w:r w:rsidR="006F7396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da giovani</w:t>
      </w:r>
      <w:r w:rsidR="001D0DEA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che hanno svolto esperienze di mobilità Erasmus+.</w:t>
      </w:r>
      <w:r w:rsidR="00FA0068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</w:t>
      </w:r>
      <w:r w:rsidR="00F9024C" w:rsidRPr="000C5F7C">
        <w:rPr>
          <w:rFonts w:asciiTheme="majorHAnsi" w:eastAsia="Times New Roman" w:hAnsiTheme="majorHAnsi" w:cstheme="majorHAnsi"/>
          <w:lang w:eastAsia="it-IT"/>
        </w:rPr>
        <w:t>Interverrà</w:t>
      </w:r>
      <w:r w:rsidR="00337C71" w:rsidRPr="000C5F7C">
        <w:rPr>
          <w:rFonts w:asciiTheme="majorHAnsi" w:eastAsia="Times New Roman" w:hAnsiTheme="majorHAnsi" w:cstheme="majorHAnsi"/>
          <w:color w:val="FF0000"/>
          <w:lang w:eastAsia="it-IT"/>
        </w:rPr>
        <w:t xml:space="preserve"> </w:t>
      </w:r>
      <w:bookmarkStart w:id="2" w:name="_Hlk102381101"/>
      <w:r w:rsidR="002C3C3B" w:rsidRPr="000C5F7C">
        <w:rPr>
          <w:rFonts w:asciiTheme="majorHAnsi" w:eastAsia="Times New Roman" w:hAnsiTheme="majorHAnsi" w:cstheme="majorHAnsi"/>
          <w:lang w:eastAsia="it-IT"/>
        </w:rPr>
        <w:t>Luca</w:t>
      </w:r>
      <w:r w:rsidR="00083582">
        <w:rPr>
          <w:rFonts w:asciiTheme="majorHAnsi" w:eastAsia="Times New Roman" w:hAnsiTheme="majorHAnsi" w:cstheme="majorHAnsi"/>
          <w:lang w:eastAsia="it-IT"/>
        </w:rPr>
        <w:t>,</w:t>
      </w:r>
      <w:r w:rsidR="002C3C3B" w:rsidRPr="000C5F7C">
        <w:rPr>
          <w:rFonts w:asciiTheme="majorHAnsi" w:eastAsia="Times New Roman" w:hAnsiTheme="majorHAnsi" w:cstheme="majorHAnsi"/>
          <w:lang w:eastAsia="it-IT"/>
        </w:rPr>
        <w:t xml:space="preserve"> </w:t>
      </w:r>
      <w:r w:rsidR="0042341A" w:rsidRPr="000C5F7C">
        <w:rPr>
          <w:rFonts w:asciiTheme="majorHAnsi" w:eastAsia="Times New Roman" w:hAnsiTheme="majorHAnsi" w:cstheme="majorHAnsi"/>
          <w:lang w:eastAsia="it-IT"/>
        </w:rPr>
        <w:t xml:space="preserve">che con </w:t>
      </w:r>
      <w:r w:rsidR="00683B84" w:rsidRPr="000C5F7C">
        <w:rPr>
          <w:rFonts w:asciiTheme="majorHAnsi" w:eastAsia="Times New Roman" w:hAnsiTheme="majorHAnsi" w:cstheme="majorHAnsi"/>
          <w:lang w:eastAsia="it-IT"/>
        </w:rPr>
        <w:t xml:space="preserve">l’ente </w:t>
      </w:r>
      <w:r w:rsidR="0042341A" w:rsidRPr="000C5F7C">
        <w:rPr>
          <w:rFonts w:asciiTheme="majorHAnsi" w:eastAsia="Times New Roman" w:hAnsiTheme="majorHAnsi" w:cstheme="majorHAnsi"/>
          <w:lang w:eastAsia="it-IT"/>
        </w:rPr>
        <w:t>Formacamera</w:t>
      </w:r>
      <w:r w:rsidR="0042341A" w:rsidRPr="000C5F7C" w:rsidDel="00683B84">
        <w:rPr>
          <w:rFonts w:asciiTheme="majorHAnsi" w:eastAsia="Times New Roman" w:hAnsiTheme="majorHAnsi" w:cstheme="majorHAnsi"/>
          <w:lang w:eastAsia="it-IT"/>
        </w:rPr>
        <w:t xml:space="preserve"> </w:t>
      </w:r>
      <w:r w:rsidR="0042341A" w:rsidRPr="000C5F7C">
        <w:rPr>
          <w:rFonts w:asciiTheme="majorHAnsi" w:eastAsia="Times New Roman" w:hAnsiTheme="majorHAnsi" w:cstheme="majorHAnsi"/>
          <w:lang w:eastAsia="it-IT"/>
        </w:rPr>
        <w:t>ha</w:t>
      </w:r>
      <w:r w:rsidR="00337C71" w:rsidRPr="000C5F7C">
        <w:rPr>
          <w:rFonts w:asciiTheme="majorHAnsi" w:eastAsia="Times New Roman" w:hAnsiTheme="majorHAnsi" w:cstheme="majorHAnsi"/>
          <w:lang w:eastAsia="it-IT"/>
        </w:rPr>
        <w:t xml:space="preserve"> svolto una </w:t>
      </w:r>
      <w:r w:rsidR="00FB265B" w:rsidRPr="000C5F7C">
        <w:rPr>
          <w:rFonts w:asciiTheme="majorHAnsi" w:eastAsia="Times New Roman" w:hAnsiTheme="majorHAnsi" w:cstheme="majorHAnsi"/>
          <w:lang w:eastAsia="it-IT"/>
        </w:rPr>
        <w:t xml:space="preserve">mobilità di tre settimane </w:t>
      </w:r>
      <w:r w:rsidR="00683B84" w:rsidRPr="000C5F7C">
        <w:rPr>
          <w:rFonts w:asciiTheme="majorHAnsi" w:eastAsia="Times New Roman" w:hAnsiTheme="majorHAnsi" w:cstheme="majorHAnsi"/>
          <w:lang w:eastAsia="it-IT"/>
        </w:rPr>
        <w:t>in Irlanda del nord</w:t>
      </w:r>
      <w:r w:rsidR="00FB265B" w:rsidRPr="000C5F7C">
        <w:rPr>
          <w:rFonts w:asciiTheme="majorHAnsi" w:eastAsia="Times New Roman" w:hAnsiTheme="majorHAnsi" w:cstheme="majorHAnsi"/>
          <w:lang w:eastAsia="it-IT"/>
        </w:rPr>
        <w:t xml:space="preserve"> </w:t>
      </w:r>
      <w:r w:rsidR="00F9024C" w:rsidRPr="000C5F7C">
        <w:rPr>
          <w:rFonts w:asciiTheme="majorHAnsi" w:eastAsia="Times New Roman" w:hAnsiTheme="majorHAnsi" w:cstheme="majorHAnsi"/>
          <w:lang w:eastAsia="it-IT"/>
        </w:rPr>
        <w:t xml:space="preserve">dove, presso un’azienda informatica, </w:t>
      </w:r>
      <w:r w:rsidR="00FB265B" w:rsidRPr="000C5F7C">
        <w:rPr>
          <w:rFonts w:asciiTheme="majorHAnsi" w:eastAsia="Times New Roman" w:hAnsiTheme="majorHAnsi" w:cstheme="majorHAnsi"/>
          <w:lang w:eastAsia="it-IT"/>
        </w:rPr>
        <w:t xml:space="preserve">ha fatto </w:t>
      </w:r>
      <w:r w:rsidR="00F9024C" w:rsidRPr="000C5F7C">
        <w:rPr>
          <w:rFonts w:asciiTheme="majorHAnsi" w:eastAsia="Times New Roman" w:hAnsiTheme="majorHAnsi" w:cstheme="majorHAnsi"/>
          <w:lang w:eastAsia="it-IT"/>
        </w:rPr>
        <w:t>un’esperienza</w:t>
      </w:r>
      <w:r w:rsidR="00FB265B" w:rsidRPr="000C5F7C">
        <w:rPr>
          <w:rFonts w:asciiTheme="majorHAnsi" w:eastAsia="Times New Roman" w:hAnsiTheme="majorHAnsi" w:cstheme="majorHAnsi"/>
          <w:lang w:eastAsia="it-IT"/>
        </w:rPr>
        <w:t xml:space="preserve"> come sviluppatore</w:t>
      </w:r>
      <w:r w:rsidR="00F9024C" w:rsidRPr="000C5F7C">
        <w:rPr>
          <w:rFonts w:asciiTheme="majorHAnsi" w:eastAsia="Times New Roman" w:hAnsiTheme="majorHAnsi" w:cstheme="majorHAnsi"/>
          <w:lang w:eastAsia="it-IT"/>
        </w:rPr>
        <w:t xml:space="preserve"> e che ha definito come la più formativa della sua vita sia per l’aspetto didattico sia</w:t>
      </w:r>
      <w:r w:rsidR="00BA06AC" w:rsidRPr="000C5F7C">
        <w:rPr>
          <w:rFonts w:asciiTheme="majorHAnsi" w:eastAsia="Times New Roman" w:hAnsiTheme="majorHAnsi" w:cstheme="majorHAnsi"/>
          <w:lang w:eastAsia="it-IT"/>
        </w:rPr>
        <w:t>, soprattutto, per</w:t>
      </w:r>
      <w:r w:rsidR="00F9024C" w:rsidRPr="000C5F7C">
        <w:rPr>
          <w:rFonts w:asciiTheme="majorHAnsi" w:eastAsia="Times New Roman" w:hAnsiTheme="majorHAnsi" w:cstheme="majorHAnsi"/>
          <w:lang w:eastAsia="it-IT"/>
        </w:rPr>
        <w:t xml:space="preserve"> quello personale.</w:t>
      </w:r>
      <w:bookmarkEnd w:id="2"/>
      <w:r w:rsidR="000C5F7C">
        <w:rPr>
          <w:rFonts w:asciiTheme="majorHAnsi" w:eastAsia="Times New Roman" w:hAnsiTheme="majorHAnsi" w:cstheme="majorHAnsi"/>
          <w:lang w:eastAsia="it-IT"/>
        </w:rPr>
        <w:t xml:space="preserve"> </w:t>
      </w:r>
      <w:r w:rsidR="00780E8C" w:rsidRPr="000C5F7C">
        <w:rPr>
          <w:rFonts w:asciiTheme="majorHAnsi" w:eastAsia="Times New Roman" w:hAnsiTheme="majorHAnsi" w:cstheme="majorHAnsi"/>
          <w:lang w:eastAsia="it-IT"/>
        </w:rPr>
        <w:t>Domiziana</w:t>
      </w:r>
      <w:r w:rsidR="00C056CB" w:rsidRPr="000C5F7C">
        <w:rPr>
          <w:rFonts w:asciiTheme="majorHAnsi" w:eastAsia="Times New Roman" w:hAnsiTheme="majorHAnsi" w:cstheme="majorHAnsi"/>
          <w:lang w:eastAsia="it-IT"/>
        </w:rPr>
        <w:t>,</w:t>
      </w:r>
      <w:r w:rsidR="00780E8C" w:rsidRPr="000C5F7C">
        <w:rPr>
          <w:rFonts w:asciiTheme="majorHAnsi" w:eastAsia="Times New Roman" w:hAnsiTheme="majorHAnsi" w:cstheme="majorHAnsi"/>
          <w:lang w:eastAsia="it-IT"/>
        </w:rPr>
        <w:t xml:space="preserve"> </w:t>
      </w:r>
      <w:r w:rsidR="00914870" w:rsidRPr="000C5F7C">
        <w:rPr>
          <w:rFonts w:asciiTheme="majorHAnsi" w:eastAsia="Times New Roman" w:hAnsiTheme="majorHAnsi" w:cstheme="majorHAnsi"/>
          <w:lang w:eastAsia="it-IT"/>
        </w:rPr>
        <w:t>del</w:t>
      </w:r>
      <w:r w:rsidR="00683B84" w:rsidRPr="000C5F7C">
        <w:rPr>
          <w:rFonts w:asciiTheme="majorHAnsi" w:eastAsia="Times New Roman" w:hAnsiTheme="majorHAnsi" w:cstheme="majorHAnsi"/>
          <w:lang w:eastAsia="it-IT"/>
        </w:rPr>
        <w:t>l’Istituto Brignoli Einaudi Marconi</w:t>
      </w:r>
      <w:r w:rsidR="00C056CB" w:rsidRPr="000C5F7C">
        <w:rPr>
          <w:rFonts w:asciiTheme="majorHAnsi" w:eastAsia="Times New Roman" w:hAnsiTheme="majorHAnsi" w:cstheme="majorHAnsi"/>
          <w:lang w:eastAsia="it-IT"/>
        </w:rPr>
        <w:t xml:space="preserve">, </w:t>
      </w:r>
      <w:r w:rsidR="004B6749" w:rsidRPr="000C5F7C">
        <w:rPr>
          <w:rFonts w:asciiTheme="majorHAnsi" w:eastAsia="Times New Roman" w:hAnsiTheme="majorHAnsi" w:cstheme="majorHAnsi"/>
          <w:lang w:eastAsia="it-IT"/>
        </w:rPr>
        <w:t xml:space="preserve">racconterà la sua esperienza </w:t>
      </w:r>
      <w:r w:rsidR="00C056CB" w:rsidRPr="000C5F7C">
        <w:rPr>
          <w:rFonts w:asciiTheme="majorHAnsi" w:eastAsia="Times New Roman" w:hAnsiTheme="majorHAnsi" w:cstheme="majorHAnsi"/>
          <w:lang w:eastAsia="it-IT"/>
        </w:rPr>
        <w:t>che</w:t>
      </w:r>
      <w:r w:rsidR="004B6749" w:rsidRPr="000C5F7C">
        <w:rPr>
          <w:rFonts w:asciiTheme="majorHAnsi" w:eastAsia="Times New Roman" w:hAnsiTheme="majorHAnsi" w:cstheme="majorHAnsi"/>
          <w:lang w:eastAsia="it-IT"/>
        </w:rPr>
        <w:t xml:space="preserve">, tramite Erasmus+, ha svolto in Irlanda </w:t>
      </w:r>
      <w:r w:rsidR="005460C4" w:rsidRPr="000C5F7C">
        <w:rPr>
          <w:rFonts w:asciiTheme="majorHAnsi" w:eastAsia="Times New Roman" w:hAnsiTheme="majorHAnsi" w:cstheme="majorHAnsi"/>
          <w:lang w:eastAsia="it-IT"/>
        </w:rPr>
        <w:t>presso una fattoria di allevamento e turismo sostenibile</w:t>
      </w:r>
      <w:r w:rsidR="004B6749" w:rsidRPr="000C5F7C">
        <w:rPr>
          <w:rFonts w:asciiTheme="majorHAnsi" w:eastAsia="Times New Roman" w:hAnsiTheme="majorHAnsi" w:cstheme="majorHAnsi"/>
          <w:lang w:eastAsia="it-IT"/>
        </w:rPr>
        <w:t xml:space="preserve"> e che le ha</w:t>
      </w:r>
      <w:r w:rsidR="000630C9" w:rsidRPr="000C5F7C">
        <w:rPr>
          <w:rFonts w:asciiTheme="majorHAnsi" w:eastAsia="Times New Roman" w:hAnsiTheme="majorHAnsi" w:cstheme="majorHAnsi"/>
          <w:lang w:eastAsia="it-IT"/>
        </w:rPr>
        <w:t xml:space="preserve"> consentito di confermare le sue intenzioni per il futuro</w:t>
      </w:r>
      <w:r w:rsidR="00BA06AC" w:rsidRPr="000C5F7C">
        <w:rPr>
          <w:rFonts w:asciiTheme="majorHAnsi" w:eastAsia="Times New Roman" w:hAnsiTheme="majorHAnsi" w:cstheme="majorHAnsi"/>
          <w:lang w:eastAsia="it-IT"/>
        </w:rPr>
        <w:t>.</w:t>
      </w:r>
      <w:r w:rsidR="00FB265B" w:rsidRPr="000C5F7C">
        <w:rPr>
          <w:rFonts w:asciiTheme="majorHAnsi" w:eastAsia="Times New Roman" w:hAnsiTheme="majorHAnsi" w:cstheme="majorHAnsi"/>
          <w:lang w:eastAsia="it-IT"/>
        </w:rPr>
        <w:t xml:space="preserve"> </w:t>
      </w:r>
      <w:r w:rsidR="004B6749" w:rsidRPr="000C5F7C">
        <w:rPr>
          <w:rFonts w:asciiTheme="majorHAnsi" w:eastAsia="Times New Roman" w:hAnsiTheme="majorHAnsi" w:cstheme="majorHAnsi"/>
          <w:lang w:eastAsia="it-IT"/>
        </w:rPr>
        <w:t xml:space="preserve">La terza </w:t>
      </w:r>
      <w:r w:rsidR="004D3E69" w:rsidRPr="000C5F7C">
        <w:rPr>
          <w:rFonts w:asciiTheme="majorHAnsi" w:eastAsia="Times New Roman" w:hAnsiTheme="majorHAnsi" w:cstheme="majorHAnsi"/>
          <w:lang w:eastAsia="it-IT"/>
        </w:rPr>
        <w:t>testimonianza sarà quella</w:t>
      </w:r>
      <w:r w:rsidR="004B6749" w:rsidRPr="000C5F7C">
        <w:rPr>
          <w:rFonts w:asciiTheme="majorHAnsi" w:eastAsia="Times New Roman" w:hAnsiTheme="majorHAnsi" w:cstheme="majorHAnsi"/>
          <w:lang w:eastAsia="it-IT"/>
        </w:rPr>
        <w:t xml:space="preserve"> di </w:t>
      </w:r>
      <w:r w:rsidR="00547FE9" w:rsidRPr="000C5F7C">
        <w:rPr>
          <w:rFonts w:asciiTheme="majorHAnsi" w:eastAsia="Times New Roman" w:hAnsiTheme="majorHAnsi" w:cstheme="majorHAnsi"/>
          <w:lang w:eastAsia="it-IT"/>
        </w:rPr>
        <w:t xml:space="preserve">Matteo </w:t>
      </w:r>
      <w:r w:rsidR="004B6749" w:rsidRPr="000C5F7C">
        <w:rPr>
          <w:rFonts w:asciiTheme="majorHAnsi" w:eastAsia="Times New Roman" w:hAnsiTheme="majorHAnsi" w:cstheme="majorHAnsi"/>
          <w:lang w:eastAsia="it-IT"/>
        </w:rPr>
        <w:t>del</w:t>
      </w:r>
      <w:r w:rsidR="00337C71" w:rsidRPr="000C5F7C">
        <w:rPr>
          <w:rFonts w:asciiTheme="majorHAnsi" w:eastAsia="Times New Roman" w:hAnsiTheme="majorHAnsi" w:cstheme="majorHAnsi"/>
          <w:lang w:eastAsia="it-IT"/>
        </w:rPr>
        <w:t xml:space="preserve"> </w:t>
      </w:r>
      <w:r w:rsidR="00547FE9" w:rsidRPr="000C5F7C">
        <w:rPr>
          <w:rFonts w:asciiTheme="majorHAnsi" w:eastAsia="Times New Roman" w:hAnsiTheme="majorHAnsi" w:cstheme="majorHAnsi"/>
          <w:lang w:eastAsia="it-IT"/>
        </w:rPr>
        <w:t>settore di pasticceria dell'IIS Einstein Nebbia</w:t>
      </w:r>
      <w:r w:rsidR="00771324" w:rsidRPr="000C5F7C">
        <w:rPr>
          <w:rFonts w:asciiTheme="majorHAnsi" w:eastAsia="Times New Roman" w:hAnsiTheme="majorHAnsi" w:cstheme="majorHAnsi"/>
          <w:lang w:eastAsia="it-IT"/>
        </w:rPr>
        <w:t xml:space="preserve"> </w:t>
      </w:r>
      <w:r w:rsidR="00EA6CE1" w:rsidRPr="000C5F7C">
        <w:rPr>
          <w:rFonts w:asciiTheme="majorHAnsi" w:eastAsia="Times New Roman" w:hAnsiTheme="majorHAnsi" w:cstheme="majorHAnsi"/>
          <w:lang w:eastAsia="it-IT"/>
        </w:rPr>
        <w:t>che ha</w:t>
      </w:r>
      <w:r w:rsidR="00547FE9" w:rsidRPr="000C5F7C">
        <w:rPr>
          <w:rFonts w:asciiTheme="majorHAnsi" w:eastAsia="Times New Roman" w:hAnsiTheme="majorHAnsi" w:cstheme="majorHAnsi"/>
          <w:lang w:eastAsia="it-IT"/>
        </w:rPr>
        <w:t xml:space="preserve"> partecipato ad un</w:t>
      </w:r>
      <w:r w:rsidR="001343B6">
        <w:rPr>
          <w:rFonts w:asciiTheme="majorHAnsi" w:eastAsia="Times New Roman" w:hAnsiTheme="majorHAnsi" w:cstheme="majorHAnsi"/>
          <w:lang w:eastAsia="it-IT"/>
        </w:rPr>
        <w:t>’</w:t>
      </w:r>
      <w:r w:rsidR="00841AB1">
        <w:rPr>
          <w:rFonts w:asciiTheme="majorHAnsi" w:eastAsia="Times New Roman" w:hAnsiTheme="majorHAnsi" w:cstheme="majorHAnsi"/>
          <w:lang w:eastAsia="it-IT"/>
        </w:rPr>
        <w:t>iniziativa</w:t>
      </w:r>
      <w:r w:rsidR="001343B6">
        <w:rPr>
          <w:rFonts w:asciiTheme="majorHAnsi" w:eastAsia="Times New Roman" w:hAnsiTheme="majorHAnsi" w:cstheme="majorHAnsi"/>
          <w:lang w:eastAsia="it-IT"/>
        </w:rPr>
        <w:t xml:space="preserve"> di</w:t>
      </w:r>
      <w:r w:rsidR="00547FE9" w:rsidRPr="000C5F7C">
        <w:rPr>
          <w:rFonts w:asciiTheme="majorHAnsi" w:eastAsia="Times New Roman" w:hAnsiTheme="majorHAnsi" w:cstheme="majorHAnsi"/>
          <w:lang w:eastAsia="it-IT"/>
        </w:rPr>
        <w:t xml:space="preserve"> mobilità </w:t>
      </w:r>
      <w:r w:rsidR="00841AB1">
        <w:rPr>
          <w:rFonts w:asciiTheme="majorHAnsi" w:eastAsia="Times New Roman" w:hAnsiTheme="majorHAnsi" w:cstheme="majorHAnsi"/>
          <w:lang w:eastAsia="it-IT"/>
        </w:rPr>
        <w:t>nel</w:t>
      </w:r>
      <w:r w:rsidR="00547FE9" w:rsidRPr="000C5F7C">
        <w:rPr>
          <w:rFonts w:asciiTheme="majorHAnsi" w:eastAsia="Times New Roman" w:hAnsiTheme="majorHAnsi" w:cstheme="majorHAnsi"/>
          <w:lang w:eastAsia="it-IT"/>
        </w:rPr>
        <w:t xml:space="preserve"> territorio d'oltremare francese dell'isola di Réunion per un periodo di 30 giorni</w:t>
      </w:r>
      <w:r w:rsidR="00B84AD5" w:rsidRPr="000C5F7C">
        <w:rPr>
          <w:rFonts w:asciiTheme="majorHAnsi" w:eastAsia="Times New Roman" w:hAnsiTheme="majorHAnsi" w:cstheme="majorHAnsi"/>
          <w:lang w:eastAsia="it-IT"/>
        </w:rPr>
        <w:t>:</w:t>
      </w:r>
      <w:r w:rsidR="00547FE9" w:rsidRPr="000C5F7C">
        <w:rPr>
          <w:rFonts w:asciiTheme="majorHAnsi" w:eastAsia="Times New Roman" w:hAnsiTheme="majorHAnsi" w:cstheme="majorHAnsi"/>
          <w:lang w:eastAsia="it-IT"/>
        </w:rPr>
        <w:t xml:space="preserve"> “Questa esperienza mi ha aperto davvero la mente, mi ha reso consapevole dei miei punti di forza e delle mie aspirazioni”.</w:t>
      </w:r>
      <w:r w:rsidR="000C5F7C">
        <w:rPr>
          <w:rFonts w:asciiTheme="majorHAnsi" w:eastAsia="Times New Roman" w:hAnsiTheme="majorHAnsi" w:cstheme="majorHAnsi"/>
          <w:lang w:eastAsia="it-IT"/>
        </w:rPr>
        <w:t xml:space="preserve"> </w:t>
      </w:r>
      <w:r w:rsidR="00FA0068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Tali testimonianze contribuiranno a promuovere l’impatto delle esperienze Erasmus+ per le nuove generazioni cui è dedicato il 2022 quale Anno Europeo dei Giovani.</w:t>
      </w:r>
    </w:p>
    <w:p w14:paraId="066F04A5" w14:textId="34AEB99D" w:rsidR="007E1CD2" w:rsidRPr="000C5F7C" w:rsidRDefault="00C924F0" w:rsidP="000C5F7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Al centro delle attività dell’Agenzia </w:t>
      </w:r>
      <w:r w:rsidR="00B3348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INAPP 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c’è l’obiettivo di avvicinarsi a coloro che hanno minori opportunità, comprese le persone che affrontano difficoltà socioeconomiche. </w:t>
      </w:r>
      <w:r w:rsidR="007E1CD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Nel periodo 2014-2020 Erasmus+ ha progressivamente rafforzato l’investimento volto a sostenere una maggiore inclusività dei percorsi di </w:t>
      </w:r>
      <w:r w:rsidR="007E1CD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lastRenderedPageBreak/>
        <w:t>istruzione e formazione sostenendo, in particolare, una più ampia partecipazione dei soggetti con bisogni speciali e minori opportunità socio</w:t>
      </w:r>
      <w:r w:rsidR="00CC78F4">
        <w:rPr>
          <w:rFonts w:asciiTheme="majorHAnsi" w:eastAsia="Times New Roman" w:hAnsiTheme="majorHAnsi" w:cstheme="majorHAnsi"/>
          <w:color w:val="000000" w:themeColor="text1"/>
          <w:lang w:eastAsia="it-IT"/>
        </w:rPr>
        <w:t>-</w:t>
      </w:r>
      <w:r w:rsidR="007E1CD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economiche alle esperienze di mobilità transnazionale. I dati raccontano un risultato estremamente positivo che nel periodo 2014-2020 ha consentito il coinvolgimento nei progetti di mobilità finanziati</w:t>
      </w:r>
      <w:r w:rsidR="00B43D17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, da parte dell</w:t>
      </w:r>
      <w:r w:rsidR="00960818">
        <w:rPr>
          <w:rFonts w:asciiTheme="majorHAnsi" w:eastAsia="Times New Roman" w:hAnsiTheme="majorHAnsi" w:cstheme="majorHAnsi"/>
          <w:color w:val="000000" w:themeColor="text1"/>
          <w:lang w:eastAsia="it-IT"/>
        </w:rPr>
        <w:t>‘</w:t>
      </w:r>
      <w:r w:rsidR="004D3E69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Agenzia, di</w:t>
      </w:r>
      <w:r w:rsidR="007E1CD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circa </w:t>
      </w:r>
      <w:r w:rsidR="007E1CD2" w:rsidRPr="000C5F7C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8</w:t>
      </w:r>
      <w:r w:rsidR="00960818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mila</w:t>
      </w:r>
      <w:r w:rsidR="007E1CD2" w:rsidRPr="000C5F7C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 soggetti con minori opportunità</w:t>
      </w:r>
      <w:r w:rsidR="00960818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, </w:t>
      </w:r>
      <w:r w:rsidR="007E1CD2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ovvero il 10,7% del totale dei partecipanti registrando un significativo incremento nelle ultime annualità. Numeri elevati che confermano la forte dimensione di inclusività del Programma Erasmus+ che nel settennato 2021-2027 intende estendere le opportunità rivolte ai soggetti con minori opportunità attraverso un crescente investimento finanziario e specifiche misure di supporto tese ad amplificare tale partecipazione.</w:t>
      </w:r>
    </w:p>
    <w:p w14:paraId="1AFDBAC4" w14:textId="2905272B" w:rsidR="00D2626A" w:rsidRPr="000C5F7C" w:rsidRDefault="00D2626A" w:rsidP="000C5F7C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Una conferma arriva già dai primi dati: solo nel 2021 nelle esperienze di mobilità transnazionali finanziate è prevista la partecipazione di circa </w:t>
      </w:r>
      <w:r w:rsidRPr="000C5F7C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1.400 soggetti con minori opportunità, ovvero il 19,8% dei partecipanti totali.</w:t>
      </w:r>
    </w:p>
    <w:p w14:paraId="12F2C068" w14:textId="00BAF963" w:rsidR="00D2626A" w:rsidRPr="000C63D4" w:rsidRDefault="00D2626A" w:rsidP="000C5F7C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000000" w:themeColor="text1"/>
          <w:lang w:eastAsia="it-IT"/>
        </w:rPr>
      </w:pP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Un Programma Erasmus+ che conti</w:t>
      </w:r>
      <w:r w:rsid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nuerà, quindi, a divenire</w:t>
      </w:r>
      <w:r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ancora più inclusivo e accessibile nonché a sostenere le transizioni verde e digitale e a promuovere la cittadinanza europea d</w:t>
      </w:r>
      <w:r w:rsidR="008E0570" w:rsidRP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>i tutti i</w:t>
      </w:r>
      <w:r w:rsidR="000C5F7C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giovani.</w:t>
      </w:r>
    </w:p>
    <w:p w14:paraId="508BC15F" w14:textId="77777777" w:rsidR="00D2626A" w:rsidRPr="000C63D4" w:rsidRDefault="00D2626A" w:rsidP="00C6577B">
      <w:pPr>
        <w:shd w:val="clear" w:color="auto" w:fill="FFFFFF"/>
        <w:spacing w:after="150" w:line="375" w:lineRule="atLeast"/>
        <w:jc w:val="both"/>
        <w:rPr>
          <w:rFonts w:ascii="Open Sans" w:eastAsia="Times New Roman" w:hAnsi="Open Sans" w:cs="Open Sans"/>
          <w:color w:val="000000" w:themeColor="text1"/>
          <w:lang w:eastAsia="it-IT"/>
        </w:rPr>
      </w:pPr>
    </w:p>
    <w:p w14:paraId="61802657" w14:textId="09E3CC65" w:rsidR="00223007" w:rsidRPr="000C63D4" w:rsidRDefault="00C6577B" w:rsidP="004241CA">
      <w:pPr>
        <w:shd w:val="clear" w:color="auto" w:fill="FFFFFF"/>
        <w:spacing w:line="375" w:lineRule="atLeast"/>
        <w:jc w:val="both"/>
        <w:rPr>
          <w:rFonts w:ascii="Open Sans" w:eastAsia="Times New Roman" w:hAnsi="Open Sans" w:cs="Open Sans"/>
          <w:color w:val="000000" w:themeColor="text1"/>
          <w:lang w:eastAsia="it-IT"/>
        </w:rPr>
      </w:pPr>
      <w:r w:rsidRPr="000C63D4">
        <w:rPr>
          <w:rFonts w:ascii="Open Sans" w:eastAsia="Times New Roman" w:hAnsi="Open Sans" w:cs="Open Sans"/>
          <w:color w:val="000000" w:themeColor="text1"/>
          <w:lang w:eastAsia="it-IT"/>
        </w:rPr>
        <w:t> </w:t>
      </w:r>
    </w:p>
    <w:sectPr w:rsidR="00223007" w:rsidRPr="000C63D4" w:rsidSect="00CC78F4">
      <w:head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B028" w14:textId="77777777" w:rsidR="00140BF1" w:rsidRDefault="00140BF1" w:rsidP="004D3E69">
      <w:pPr>
        <w:spacing w:after="0" w:line="240" w:lineRule="auto"/>
      </w:pPr>
      <w:r>
        <w:separator/>
      </w:r>
    </w:p>
  </w:endnote>
  <w:endnote w:type="continuationSeparator" w:id="0">
    <w:p w14:paraId="4D016550" w14:textId="77777777" w:rsidR="00140BF1" w:rsidRDefault="00140BF1" w:rsidP="004D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1D2D" w14:textId="77777777" w:rsidR="00140BF1" w:rsidRDefault="00140BF1" w:rsidP="004D3E69">
      <w:pPr>
        <w:spacing w:after="0" w:line="240" w:lineRule="auto"/>
      </w:pPr>
      <w:r>
        <w:separator/>
      </w:r>
    </w:p>
  </w:footnote>
  <w:footnote w:type="continuationSeparator" w:id="0">
    <w:p w14:paraId="660E0C94" w14:textId="77777777" w:rsidR="00140BF1" w:rsidRDefault="00140BF1" w:rsidP="004D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30E4" w14:textId="4090E6DD" w:rsidR="004D3E69" w:rsidRDefault="004D3E69" w:rsidP="004D3E69">
    <w:pPr>
      <w:pStyle w:val="Intestazione"/>
    </w:pPr>
  </w:p>
  <w:p w14:paraId="11F5733F" w14:textId="77777777" w:rsidR="00CC78F4" w:rsidRPr="004D3E69" w:rsidRDefault="00CC78F4" w:rsidP="004D3E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EA5"/>
    <w:multiLevelType w:val="hybridMultilevel"/>
    <w:tmpl w:val="093A3E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0F7885"/>
    <w:multiLevelType w:val="hybridMultilevel"/>
    <w:tmpl w:val="9E0E2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224695">
    <w:abstractNumId w:val="1"/>
  </w:num>
  <w:num w:numId="2" w16cid:durableId="81233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B"/>
    <w:rsid w:val="00024CB5"/>
    <w:rsid w:val="00026B5E"/>
    <w:rsid w:val="00047E90"/>
    <w:rsid w:val="000630C9"/>
    <w:rsid w:val="00066CA8"/>
    <w:rsid w:val="000816DE"/>
    <w:rsid w:val="00083582"/>
    <w:rsid w:val="000A7A8C"/>
    <w:rsid w:val="000B3C2C"/>
    <w:rsid w:val="000C5F7C"/>
    <w:rsid w:val="000C63D4"/>
    <w:rsid w:val="000F031F"/>
    <w:rsid w:val="000F24AD"/>
    <w:rsid w:val="000F5BBB"/>
    <w:rsid w:val="00102389"/>
    <w:rsid w:val="00127E3A"/>
    <w:rsid w:val="001343B6"/>
    <w:rsid w:val="00140BF1"/>
    <w:rsid w:val="00154A98"/>
    <w:rsid w:val="00181380"/>
    <w:rsid w:val="00183AEA"/>
    <w:rsid w:val="00191BE6"/>
    <w:rsid w:val="001C5CA8"/>
    <w:rsid w:val="001D0DEA"/>
    <w:rsid w:val="002013F3"/>
    <w:rsid w:val="00223007"/>
    <w:rsid w:val="0024029F"/>
    <w:rsid w:val="002428E1"/>
    <w:rsid w:val="0025087B"/>
    <w:rsid w:val="00250B3E"/>
    <w:rsid w:val="00257317"/>
    <w:rsid w:val="002718EB"/>
    <w:rsid w:val="00271976"/>
    <w:rsid w:val="00274171"/>
    <w:rsid w:val="00281536"/>
    <w:rsid w:val="002839B1"/>
    <w:rsid w:val="00284853"/>
    <w:rsid w:val="00286DDF"/>
    <w:rsid w:val="00290E5C"/>
    <w:rsid w:val="002B6604"/>
    <w:rsid w:val="002C3C3B"/>
    <w:rsid w:val="002D3F7D"/>
    <w:rsid w:val="002D4243"/>
    <w:rsid w:val="002D6ECD"/>
    <w:rsid w:val="0030223F"/>
    <w:rsid w:val="00337C71"/>
    <w:rsid w:val="0034464B"/>
    <w:rsid w:val="00367044"/>
    <w:rsid w:val="00370C20"/>
    <w:rsid w:val="00371869"/>
    <w:rsid w:val="003A65DF"/>
    <w:rsid w:val="003A7384"/>
    <w:rsid w:val="003C33C2"/>
    <w:rsid w:val="00401DC6"/>
    <w:rsid w:val="0042341A"/>
    <w:rsid w:val="004241CA"/>
    <w:rsid w:val="0044490C"/>
    <w:rsid w:val="004478E0"/>
    <w:rsid w:val="00464314"/>
    <w:rsid w:val="0048592B"/>
    <w:rsid w:val="004A1FC5"/>
    <w:rsid w:val="004B6749"/>
    <w:rsid w:val="004C6C55"/>
    <w:rsid w:val="004D073A"/>
    <w:rsid w:val="004D3E69"/>
    <w:rsid w:val="004F55F4"/>
    <w:rsid w:val="00542F27"/>
    <w:rsid w:val="005460C4"/>
    <w:rsid w:val="00547FE9"/>
    <w:rsid w:val="00570092"/>
    <w:rsid w:val="0057344C"/>
    <w:rsid w:val="005D6E79"/>
    <w:rsid w:val="005E1D7A"/>
    <w:rsid w:val="005E740E"/>
    <w:rsid w:val="00620D6A"/>
    <w:rsid w:val="00661189"/>
    <w:rsid w:val="0067034A"/>
    <w:rsid w:val="00683B84"/>
    <w:rsid w:val="00696308"/>
    <w:rsid w:val="006A6A64"/>
    <w:rsid w:val="006B6B39"/>
    <w:rsid w:val="006E64FB"/>
    <w:rsid w:val="006F7396"/>
    <w:rsid w:val="00750814"/>
    <w:rsid w:val="00750B52"/>
    <w:rsid w:val="00771324"/>
    <w:rsid w:val="00771B88"/>
    <w:rsid w:val="007758F0"/>
    <w:rsid w:val="00780E8C"/>
    <w:rsid w:val="007871F0"/>
    <w:rsid w:val="00792655"/>
    <w:rsid w:val="007A0F26"/>
    <w:rsid w:val="007E1CD2"/>
    <w:rsid w:val="008206B8"/>
    <w:rsid w:val="00841AB1"/>
    <w:rsid w:val="00863611"/>
    <w:rsid w:val="00865CD8"/>
    <w:rsid w:val="00897B4F"/>
    <w:rsid w:val="008A6627"/>
    <w:rsid w:val="008D01C6"/>
    <w:rsid w:val="008D5B77"/>
    <w:rsid w:val="008E0570"/>
    <w:rsid w:val="00914870"/>
    <w:rsid w:val="00915246"/>
    <w:rsid w:val="0092413A"/>
    <w:rsid w:val="00945042"/>
    <w:rsid w:val="009539AE"/>
    <w:rsid w:val="00960818"/>
    <w:rsid w:val="009806A0"/>
    <w:rsid w:val="00990399"/>
    <w:rsid w:val="009B3818"/>
    <w:rsid w:val="009C4041"/>
    <w:rsid w:val="009C57BC"/>
    <w:rsid w:val="00A25FDA"/>
    <w:rsid w:val="00A45E3A"/>
    <w:rsid w:val="00A47567"/>
    <w:rsid w:val="00A57141"/>
    <w:rsid w:val="00A87367"/>
    <w:rsid w:val="00AA298C"/>
    <w:rsid w:val="00AC5E0A"/>
    <w:rsid w:val="00B20B9C"/>
    <w:rsid w:val="00B22423"/>
    <w:rsid w:val="00B33482"/>
    <w:rsid w:val="00B40CCD"/>
    <w:rsid w:val="00B43D17"/>
    <w:rsid w:val="00B45FFD"/>
    <w:rsid w:val="00B4785F"/>
    <w:rsid w:val="00B63794"/>
    <w:rsid w:val="00B711C5"/>
    <w:rsid w:val="00B84AD5"/>
    <w:rsid w:val="00B95866"/>
    <w:rsid w:val="00BA06AC"/>
    <w:rsid w:val="00BA16F1"/>
    <w:rsid w:val="00BD1AB8"/>
    <w:rsid w:val="00BF251A"/>
    <w:rsid w:val="00C056CB"/>
    <w:rsid w:val="00C132DE"/>
    <w:rsid w:val="00C6577B"/>
    <w:rsid w:val="00C924F0"/>
    <w:rsid w:val="00C97173"/>
    <w:rsid w:val="00CC444E"/>
    <w:rsid w:val="00CC732E"/>
    <w:rsid w:val="00CC78F4"/>
    <w:rsid w:val="00CD7639"/>
    <w:rsid w:val="00CE68A9"/>
    <w:rsid w:val="00D165CB"/>
    <w:rsid w:val="00D2626A"/>
    <w:rsid w:val="00D474A4"/>
    <w:rsid w:val="00DB0344"/>
    <w:rsid w:val="00DC1DD5"/>
    <w:rsid w:val="00DD0ABA"/>
    <w:rsid w:val="00DD315B"/>
    <w:rsid w:val="00DE4F0D"/>
    <w:rsid w:val="00DF4BEE"/>
    <w:rsid w:val="00E00DFD"/>
    <w:rsid w:val="00E13E06"/>
    <w:rsid w:val="00E559A7"/>
    <w:rsid w:val="00E64BFB"/>
    <w:rsid w:val="00E82BEA"/>
    <w:rsid w:val="00E904C3"/>
    <w:rsid w:val="00EA6CE1"/>
    <w:rsid w:val="00EB2672"/>
    <w:rsid w:val="00EE7EC4"/>
    <w:rsid w:val="00F05F19"/>
    <w:rsid w:val="00F34E37"/>
    <w:rsid w:val="00F37442"/>
    <w:rsid w:val="00F46E14"/>
    <w:rsid w:val="00F54704"/>
    <w:rsid w:val="00F647E2"/>
    <w:rsid w:val="00F65DBD"/>
    <w:rsid w:val="00F6714E"/>
    <w:rsid w:val="00F805A7"/>
    <w:rsid w:val="00F85DFB"/>
    <w:rsid w:val="00F9024C"/>
    <w:rsid w:val="00FA0068"/>
    <w:rsid w:val="00FB265B"/>
    <w:rsid w:val="00FD3FCC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7DC5"/>
  <w15:docId w15:val="{B0427DBA-335C-4E11-BD52-5DB13613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C6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577B"/>
    <w:rPr>
      <w:b/>
      <w:bCs/>
    </w:rPr>
  </w:style>
  <w:style w:type="character" w:styleId="Enfasicorsivo">
    <w:name w:val="Emphasis"/>
    <w:basedOn w:val="Carpredefinitoparagrafo"/>
    <w:uiPriority w:val="20"/>
    <w:qFormat/>
    <w:rsid w:val="00C6577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6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577B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C6577B"/>
  </w:style>
  <w:style w:type="paragraph" w:customStyle="1" w:styleId="gmail-p1">
    <w:name w:val="gmail-p1"/>
    <w:basedOn w:val="Normale"/>
    <w:rsid w:val="0067034A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gmail-p2">
    <w:name w:val="gmail-p2"/>
    <w:basedOn w:val="Normale"/>
    <w:rsid w:val="0067034A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gmail-s1">
    <w:name w:val="gmail-s1"/>
    <w:basedOn w:val="Carpredefinitoparagrafo"/>
    <w:rsid w:val="0067034A"/>
  </w:style>
  <w:style w:type="character" w:customStyle="1" w:styleId="gmail-apple-converted-space">
    <w:name w:val="gmail-apple-converted-space"/>
    <w:basedOn w:val="Carpredefinitoparagrafo"/>
    <w:rsid w:val="0067034A"/>
  </w:style>
  <w:style w:type="paragraph" w:styleId="Revisione">
    <w:name w:val="Revision"/>
    <w:hidden/>
    <w:uiPriority w:val="99"/>
    <w:semiHidden/>
    <w:rsid w:val="0028153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D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E69"/>
  </w:style>
  <w:style w:type="paragraph" w:styleId="Pidipagina">
    <w:name w:val="footer"/>
    <w:basedOn w:val="Normale"/>
    <w:link w:val="PidipaginaCarattere"/>
    <w:uiPriority w:val="99"/>
    <w:unhideWhenUsed/>
    <w:rsid w:val="004D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E69"/>
  </w:style>
  <w:style w:type="paragraph" w:customStyle="1" w:styleId="ydp5dd27caamsonormal">
    <w:name w:val="ydp5dd27caamsonormal"/>
    <w:basedOn w:val="Normale"/>
    <w:rsid w:val="003A7384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4449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610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B3FE-E207-41DD-8D23-A3C50B36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Pinardi Stefania</dc:creator>
  <cp:keywords/>
  <dc:description/>
  <cp:lastModifiedBy>Gentile Laura</cp:lastModifiedBy>
  <cp:revision>3</cp:revision>
  <dcterms:created xsi:type="dcterms:W3CDTF">2022-05-12T14:17:00Z</dcterms:created>
  <dcterms:modified xsi:type="dcterms:W3CDTF">2022-05-12T14:21:00Z</dcterms:modified>
</cp:coreProperties>
</file>