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BA07B" w14:textId="6055B1C7" w:rsidR="00A15DB0" w:rsidRDefault="00A15DB0" w:rsidP="002718B8">
      <w:pPr>
        <w:jc w:val="center"/>
        <w:rPr>
          <w:rFonts w:cs="Calibri"/>
          <w:szCs w:val="21"/>
        </w:rPr>
      </w:pPr>
      <w:bookmarkStart w:id="0" w:name="_Hlk63512224"/>
      <w:r>
        <w:rPr>
          <w:rFonts w:eastAsia="Times New Roman" w:cstheme="minorHAnsi"/>
          <w:noProof/>
          <w:u w:val="single"/>
          <w:shd w:val="clear" w:color="auto" w:fill="FFFFFF"/>
          <w:lang w:eastAsia="it-IT"/>
        </w:rPr>
        <w:drawing>
          <wp:inline distT="0" distB="0" distL="0" distR="0" wp14:anchorId="529202DF" wp14:editId="46850E36">
            <wp:extent cx="1816100" cy="123110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892" cy="126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53717" w14:textId="77777777" w:rsidR="00A15DB0" w:rsidRDefault="00A15DB0" w:rsidP="002718B8">
      <w:pPr>
        <w:jc w:val="center"/>
        <w:rPr>
          <w:rFonts w:cs="Calibri"/>
          <w:szCs w:val="21"/>
        </w:rPr>
      </w:pPr>
    </w:p>
    <w:p w14:paraId="71A7CE93" w14:textId="5C6850EB" w:rsidR="00A83F65" w:rsidRDefault="00A83F65" w:rsidP="002718B8">
      <w:pPr>
        <w:jc w:val="center"/>
        <w:rPr>
          <w:rFonts w:cs="Calibri"/>
          <w:szCs w:val="21"/>
        </w:rPr>
      </w:pPr>
      <w:r>
        <w:rPr>
          <w:rFonts w:cs="Calibri"/>
          <w:szCs w:val="21"/>
        </w:rPr>
        <w:t>COMUNICATO STAMPA</w:t>
      </w:r>
    </w:p>
    <w:p w14:paraId="2158C6A6" w14:textId="0C8ABA1F" w:rsidR="00C4466E" w:rsidRPr="00A83F65" w:rsidRDefault="00A83F65" w:rsidP="00580171">
      <w:pPr>
        <w:jc w:val="both"/>
        <w:rPr>
          <w:rFonts w:cs="Calibri"/>
          <w:sz w:val="36"/>
          <w:szCs w:val="36"/>
        </w:rPr>
      </w:pPr>
      <w:r w:rsidRPr="00A83F65">
        <w:rPr>
          <w:rFonts w:cs="Calibri"/>
          <w:sz w:val="36"/>
          <w:szCs w:val="36"/>
        </w:rPr>
        <w:t>INAPP: “LA SHECESSION IN ITALIA, 312MILA DONNE HANNO PERSO IL LAVORO NELL’ANNO DELLA PANDEMIA”</w:t>
      </w:r>
      <w:r w:rsidR="00F33353">
        <w:rPr>
          <w:rFonts w:cs="Calibri"/>
          <w:sz w:val="36"/>
          <w:szCs w:val="36"/>
        </w:rPr>
        <w:t xml:space="preserve">. </w:t>
      </w:r>
    </w:p>
    <w:p w14:paraId="6BE91047" w14:textId="2687D369" w:rsidR="00A83F65" w:rsidRPr="0006602B" w:rsidRDefault="00A83F65" w:rsidP="00580171">
      <w:pPr>
        <w:jc w:val="both"/>
        <w:rPr>
          <w:rFonts w:asciiTheme="majorHAnsi" w:hAnsiTheme="majorHAnsi" w:cstheme="majorHAnsi"/>
          <w:i/>
        </w:rPr>
      </w:pPr>
      <w:r w:rsidRPr="0006602B">
        <w:rPr>
          <w:rFonts w:asciiTheme="majorHAnsi" w:hAnsiTheme="majorHAnsi" w:cstheme="majorHAnsi"/>
          <w:i/>
          <w:szCs w:val="21"/>
        </w:rPr>
        <w:t xml:space="preserve">Il fenomeno indica la recessione che colpisce le donne molto più degli uomini: </w:t>
      </w:r>
      <w:r w:rsidRPr="0006602B">
        <w:rPr>
          <w:rFonts w:asciiTheme="majorHAnsi" w:hAnsiTheme="majorHAnsi" w:cstheme="majorHAnsi"/>
          <w:i/>
        </w:rPr>
        <w:t xml:space="preserve">quelle occupate sono diminuite del 2,6 % nel lavoro </w:t>
      </w:r>
      <w:r w:rsidR="002F7C46">
        <w:rPr>
          <w:rFonts w:asciiTheme="majorHAnsi" w:hAnsiTheme="majorHAnsi" w:cstheme="majorHAnsi"/>
          <w:i/>
        </w:rPr>
        <w:t xml:space="preserve">dipendente (contro </w:t>
      </w:r>
      <w:r w:rsidRPr="0006602B">
        <w:rPr>
          <w:rFonts w:asciiTheme="majorHAnsi" w:hAnsiTheme="majorHAnsi" w:cstheme="majorHAnsi"/>
          <w:i/>
        </w:rPr>
        <w:t>l’1,9% degli uomini) e del 7,6% nel lavoro indipendente (contro il corrispondente -2,5% maschile).</w:t>
      </w:r>
    </w:p>
    <w:p w14:paraId="75BA55F5" w14:textId="3CEA7819" w:rsidR="002718B8" w:rsidRPr="0006602B" w:rsidRDefault="002718B8" w:rsidP="00580171">
      <w:pPr>
        <w:jc w:val="both"/>
        <w:rPr>
          <w:rFonts w:asciiTheme="majorHAnsi" w:hAnsiTheme="majorHAnsi" w:cstheme="majorHAnsi"/>
          <w:szCs w:val="21"/>
        </w:rPr>
      </w:pPr>
      <w:r w:rsidRPr="0006602B">
        <w:rPr>
          <w:rFonts w:asciiTheme="majorHAnsi" w:hAnsiTheme="majorHAnsi" w:cstheme="majorHAnsi"/>
        </w:rPr>
        <w:t>FADDA: “</w:t>
      </w:r>
      <w:r w:rsidRPr="0006602B">
        <w:rPr>
          <w:rFonts w:asciiTheme="majorHAnsi" w:eastAsia="Times New Roman" w:hAnsiTheme="majorHAnsi" w:cstheme="majorHAnsi"/>
        </w:rPr>
        <w:t>Ora serve un</w:t>
      </w:r>
      <w:r w:rsidR="006D2380" w:rsidRPr="0006602B">
        <w:rPr>
          <w:rFonts w:asciiTheme="majorHAnsi" w:eastAsia="Times New Roman" w:hAnsiTheme="majorHAnsi" w:cstheme="majorHAnsi"/>
        </w:rPr>
        <w:t xml:space="preserve"> nuovo impegno</w:t>
      </w:r>
      <w:r w:rsidRPr="0006602B">
        <w:rPr>
          <w:rFonts w:asciiTheme="majorHAnsi" w:eastAsia="Times New Roman" w:hAnsiTheme="majorHAnsi" w:cstheme="majorHAnsi"/>
        </w:rPr>
        <w:t xml:space="preserve"> che favorisca</w:t>
      </w:r>
      <w:r w:rsidR="006D2380" w:rsidRPr="0006602B">
        <w:rPr>
          <w:rFonts w:asciiTheme="majorHAnsi" w:eastAsia="Times New Roman" w:hAnsiTheme="majorHAnsi" w:cstheme="majorHAnsi"/>
        </w:rPr>
        <w:t xml:space="preserve"> </w:t>
      </w:r>
      <w:r w:rsidR="0025440E" w:rsidRPr="0006602B">
        <w:rPr>
          <w:rFonts w:asciiTheme="majorHAnsi" w:eastAsia="Times New Roman" w:hAnsiTheme="majorHAnsi" w:cstheme="majorHAnsi"/>
        </w:rPr>
        <w:t>la modifica</w:t>
      </w:r>
      <w:r w:rsidRPr="0006602B">
        <w:rPr>
          <w:rFonts w:asciiTheme="majorHAnsi" w:eastAsia="Times New Roman" w:hAnsiTheme="majorHAnsi" w:cstheme="majorHAnsi"/>
        </w:rPr>
        <w:t xml:space="preserve"> di queste quote e metta seriamente al centro dell’agenda politica la questione dell’innalzamento del tasso di occupazione femminile. </w:t>
      </w:r>
      <w:r w:rsidR="0025440E" w:rsidRPr="0006602B">
        <w:rPr>
          <w:rFonts w:asciiTheme="majorHAnsi" w:eastAsia="Times New Roman" w:hAnsiTheme="majorHAnsi" w:cstheme="majorHAnsi"/>
        </w:rPr>
        <w:t>A questo fine</w:t>
      </w:r>
      <w:r w:rsidRPr="0006602B">
        <w:rPr>
          <w:rFonts w:asciiTheme="majorHAnsi" w:eastAsia="Times New Roman" w:hAnsiTheme="majorHAnsi" w:cstheme="majorHAnsi"/>
        </w:rPr>
        <w:t xml:space="preserve"> bisogna muoversi lungo due direttrici: attuare politiche di sostegno di lungo periodo che possano diventare di carattere ‘strutturale’ e non perdere l’occasione del PNRR, in particolare l</w:t>
      </w:r>
      <w:r w:rsidRPr="0006602B">
        <w:rPr>
          <w:rFonts w:asciiTheme="majorHAnsi" w:eastAsia="Calibri" w:hAnsiTheme="majorHAnsi" w:cstheme="majorHAnsi"/>
          <w:szCs w:val="21"/>
        </w:rPr>
        <w:t xml:space="preserve">a clausola di condizionalità, recepita </w:t>
      </w:r>
      <w:r w:rsidRPr="0006602B">
        <w:rPr>
          <w:rFonts w:cstheme="minorHAnsi"/>
        </w:rPr>
        <w:t xml:space="preserve">dal </w:t>
      </w:r>
      <w:r w:rsidRPr="0006602B">
        <w:rPr>
          <w:rFonts w:asciiTheme="majorHAnsi" w:eastAsia="Calibri" w:hAnsiTheme="majorHAnsi" w:cstheme="majorHAnsi"/>
          <w:szCs w:val="21"/>
        </w:rPr>
        <w:t>Decreto sostegni, che richiede il 30% di giovani under 36 e di donne sul complesso delle nuove assunzioni”</w:t>
      </w:r>
      <w:r w:rsidR="002F7C46">
        <w:rPr>
          <w:rFonts w:asciiTheme="majorHAnsi" w:eastAsia="Calibri" w:hAnsiTheme="majorHAnsi" w:cstheme="majorHAnsi"/>
          <w:szCs w:val="21"/>
        </w:rPr>
        <w:t>.</w:t>
      </w:r>
      <w:bookmarkStart w:id="1" w:name="_GoBack"/>
      <w:bookmarkEnd w:id="1"/>
      <w:r w:rsidRPr="0006602B">
        <w:rPr>
          <w:rFonts w:asciiTheme="majorHAnsi" w:eastAsia="Times New Roman" w:hAnsiTheme="majorHAnsi" w:cstheme="majorHAnsi"/>
        </w:rPr>
        <w:t xml:space="preserve"> </w:t>
      </w:r>
    </w:p>
    <w:p w14:paraId="2896A776" w14:textId="1098C5C1" w:rsidR="00EC5DD6" w:rsidRPr="0006602B" w:rsidRDefault="0006602B" w:rsidP="006A0C51">
      <w:pPr>
        <w:jc w:val="both"/>
        <w:rPr>
          <w:rFonts w:asciiTheme="majorHAnsi" w:hAnsiTheme="majorHAnsi" w:cstheme="majorHAnsi"/>
          <w:shd w:val="clear" w:color="auto" w:fill="FFFFFF"/>
        </w:rPr>
      </w:pPr>
      <w:r w:rsidRPr="0006602B">
        <w:rPr>
          <w:rFonts w:asciiTheme="majorHAnsi" w:hAnsiTheme="majorHAnsi" w:cstheme="majorHAnsi"/>
        </w:rPr>
        <w:t>Roma, 6</w:t>
      </w:r>
      <w:r w:rsidR="00A83F65" w:rsidRPr="0006602B">
        <w:rPr>
          <w:rFonts w:asciiTheme="majorHAnsi" w:hAnsiTheme="majorHAnsi" w:cstheme="majorHAnsi"/>
        </w:rPr>
        <w:t xml:space="preserve"> agosto 2021 - </w:t>
      </w:r>
      <w:r w:rsidR="00C4466E" w:rsidRPr="0006602B">
        <w:rPr>
          <w:rFonts w:asciiTheme="majorHAnsi" w:hAnsiTheme="majorHAnsi" w:cstheme="majorHAnsi"/>
        </w:rPr>
        <w:t xml:space="preserve">Negli Stati Uniti l’hanno ribattezzata </w:t>
      </w:r>
      <w:r w:rsidR="00C4466E" w:rsidRPr="0006602B">
        <w:rPr>
          <w:rFonts w:asciiTheme="majorHAnsi" w:hAnsiTheme="majorHAnsi" w:cstheme="majorHAnsi"/>
          <w:b/>
          <w:bCs/>
          <w:shd w:val="clear" w:color="auto" w:fill="FFFFFF"/>
        </w:rPr>
        <w:t xml:space="preserve">Shecession, </w:t>
      </w:r>
      <w:r w:rsidR="005F5C4C" w:rsidRPr="0006602B">
        <w:rPr>
          <w:rFonts w:asciiTheme="majorHAnsi" w:hAnsiTheme="majorHAnsi" w:cstheme="majorHAnsi"/>
          <w:bCs/>
          <w:shd w:val="clear" w:color="auto" w:fill="FFFFFF"/>
        </w:rPr>
        <w:t xml:space="preserve">ossia </w:t>
      </w:r>
      <w:r w:rsidR="00C4466E" w:rsidRPr="0006602B">
        <w:rPr>
          <w:rFonts w:asciiTheme="majorHAnsi" w:hAnsiTheme="majorHAnsi" w:cstheme="majorHAnsi"/>
          <w:b/>
          <w:bCs/>
          <w:shd w:val="clear" w:color="auto" w:fill="FFFFFF"/>
        </w:rPr>
        <w:t>la recessione che colpisce le donne molto più degli uomini</w:t>
      </w:r>
      <w:r w:rsidR="00C4466E" w:rsidRPr="0006602B">
        <w:rPr>
          <w:rFonts w:asciiTheme="majorHAnsi" w:hAnsiTheme="majorHAnsi" w:cstheme="majorHAnsi"/>
          <w:shd w:val="clear" w:color="auto" w:fill="FFFFFF"/>
        </w:rPr>
        <w:t xml:space="preserve">, </w:t>
      </w:r>
      <w:r w:rsidR="005F5C4C" w:rsidRPr="0006602B">
        <w:rPr>
          <w:rFonts w:asciiTheme="majorHAnsi" w:hAnsiTheme="majorHAnsi" w:cstheme="majorHAnsi"/>
          <w:shd w:val="clear" w:color="auto" w:fill="FFFFFF"/>
        </w:rPr>
        <w:t>a</w:t>
      </w:r>
      <w:r w:rsidR="00C4466E" w:rsidRPr="0006602B">
        <w:rPr>
          <w:rFonts w:asciiTheme="majorHAnsi" w:hAnsiTheme="majorHAnsi" w:cstheme="majorHAnsi"/>
          <w:shd w:val="clear" w:color="auto" w:fill="FFFFFF"/>
        </w:rPr>
        <w:t xml:space="preserve"> confronto con la crisi del 2008 denominata</w:t>
      </w:r>
      <w:r w:rsidR="00C4466E" w:rsidRPr="0006602B">
        <w:rPr>
          <w:rFonts w:asciiTheme="majorHAnsi" w:hAnsiTheme="majorHAnsi" w:cstheme="majorHAnsi"/>
          <w:b/>
          <w:bCs/>
          <w:shd w:val="clear" w:color="auto" w:fill="FFFFFF"/>
        </w:rPr>
        <w:t> </w:t>
      </w:r>
      <w:r w:rsidR="00C4466E" w:rsidRPr="0006602B">
        <w:rPr>
          <w:rFonts w:asciiTheme="majorHAnsi" w:hAnsiTheme="majorHAnsi" w:cstheme="majorHAnsi"/>
          <w:bCs/>
          <w:shd w:val="clear" w:color="auto" w:fill="FFFFFF"/>
        </w:rPr>
        <w:t>Mancession</w:t>
      </w:r>
      <w:r w:rsidR="00C4466E" w:rsidRPr="0006602B">
        <w:rPr>
          <w:rFonts w:asciiTheme="majorHAnsi" w:hAnsiTheme="majorHAnsi" w:cstheme="majorHAnsi"/>
          <w:shd w:val="clear" w:color="auto" w:fill="FFFFFF"/>
        </w:rPr>
        <w:t xml:space="preserve">, </w:t>
      </w:r>
      <w:r w:rsidR="005F5C4C" w:rsidRPr="0006602B">
        <w:rPr>
          <w:rFonts w:asciiTheme="majorHAnsi" w:hAnsiTheme="majorHAnsi" w:cstheme="majorHAnsi"/>
          <w:shd w:val="clear" w:color="auto" w:fill="FFFFFF"/>
        </w:rPr>
        <w:t xml:space="preserve">che ha colpito i lavori nei </w:t>
      </w:r>
      <w:r w:rsidR="00383A92" w:rsidRPr="0006602B">
        <w:rPr>
          <w:rFonts w:asciiTheme="majorHAnsi" w:hAnsiTheme="majorHAnsi" w:cstheme="majorHAnsi"/>
          <w:shd w:val="clear" w:color="auto" w:fill="FFFFFF"/>
        </w:rPr>
        <w:t>settori a prevalenza maschile</w:t>
      </w:r>
      <w:r w:rsidR="00C4466E" w:rsidRPr="0006602B">
        <w:rPr>
          <w:rFonts w:asciiTheme="majorHAnsi" w:hAnsiTheme="majorHAnsi" w:cstheme="majorHAnsi"/>
          <w:shd w:val="clear" w:color="auto" w:fill="FFFFFF"/>
        </w:rPr>
        <w:t>. Questa volta</w:t>
      </w:r>
      <w:r w:rsidR="002718B8" w:rsidRPr="0006602B">
        <w:rPr>
          <w:rFonts w:asciiTheme="majorHAnsi" w:hAnsiTheme="majorHAnsi" w:cstheme="majorHAnsi"/>
          <w:shd w:val="clear" w:color="auto" w:fill="FFFFFF"/>
        </w:rPr>
        <w:t xml:space="preserve"> </w:t>
      </w:r>
      <w:r w:rsidR="00C4466E" w:rsidRPr="0006602B">
        <w:rPr>
          <w:rFonts w:asciiTheme="majorHAnsi" w:hAnsiTheme="majorHAnsi" w:cstheme="majorHAnsi"/>
          <w:bCs/>
          <w:shd w:val="clear" w:color="auto" w:fill="FFFFFF"/>
        </w:rPr>
        <w:t>sono le donne le principali vittime dello sconvolgimento sociale ed economico causato dagli effetti globali del virus</w:t>
      </w:r>
      <w:r w:rsidR="00C4466E" w:rsidRPr="0006602B">
        <w:rPr>
          <w:rFonts w:asciiTheme="majorHAnsi" w:hAnsiTheme="majorHAnsi" w:cstheme="majorHAnsi"/>
          <w:shd w:val="clear" w:color="auto" w:fill="FFFFFF"/>
        </w:rPr>
        <w:t>. Un fenomeno</w:t>
      </w:r>
      <w:r w:rsidR="00EC5DD6" w:rsidRPr="0006602B">
        <w:rPr>
          <w:rFonts w:asciiTheme="majorHAnsi" w:hAnsiTheme="majorHAnsi" w:cstheme="majorHAnsi"/>
          <w:shd w:val="clear" w:color="auto" w:fill="FFFFFF"/>
        </w:rPr>
        <w:t xml:space="preserve"> di livello mondiale,</w:t>
      </w:r>
      <w:r w:rsidR="00C4466E" w:rsidRPr="0006602B">
        <w:rPr>
          <w:rFonts w:asciiTheme="majorHAnsi" w:hAnsiTheme="majorHAnsi" w:cstheme="majorHAnsi"/>
          <w:shd w:val="clear" w:color="auto" w:fill="FFFFFF"/>
        </w:rPr>
        <w:t xml:space="preserve"> </w:t>
      </w:r>
      <w:r w:rsidR="005F5C4C" w:rsidRPr="0006602B">
        <w:rPr>
          <w:rFonts w:asciiTheme="majorHAnsi" w:hAnsiTheme="majorHAnsi" w:cstheme="majorHAnsi"/>
          <w:shd w:val="clear" w:color="auto" w:fill="FFFFFF"/>
        </w:rPr>
        <w:t>che</w:t>
      </w:r>
      <w:r w:rsidR="00EC5DD6" w:rsidRPr="0006602B">
        <w:rPr>
          <w:rFonts w:asciiTheme="majorHAnsi" w:hAnsiTheme="majorHAnsi" w:cstheme="majorHAnsi"/>
          <w:shd w:val="clear" w:color="auto" w:fill="FFFFFF"/>
        </w:rPr>
        <w:t xml:space="preserve"> ha determinato il calo del 4% della forza lavoro femminile a livello Ocse e un impatto negativo sui salari dell’8,1% per le donne contro il 5,4 % degli uomini.  </w:t>
      </w:r>
    </w:p>
    <w:p w14:paraId="05909C6A" w14:textId="3F9A010F" w:rsidR="000D2580" w:rsidRPr="0006602B" w:rsidRDefault="00EC5DD6" w:rsidP="00507861">
      <w:pPr>
        <w:jc w:val="both"/>
        <w:rPr>
          <w:rFonts w:asciiTheme="majorHAnsi" w:hAnsiTheme="majorHAnsi" w:cstheme="majorHAnsi"/>
        </w:rPr>
      </w:pPr>
      <w:r w:rsidRPr="0006602B">
        <w:rPr>
          <w:rFonts w:asciiTheme="majorHAnsi" w:hAnsiTheme="majorHAnsi" w:cstheme="majorHAnsi"/>
          <w:shd w:val="clear" w:color="auto" w:fill="FFFFFF"/>
        </w:rPr>
        <w:t>Il</w:t>
      </w:r>
      <w:r w:rsidR="00A83F65" w:rsidRPr="0006602B">
        <w:rPr>
          <w:rFonts w:asciiTheme="majorHAnsi" w:hAnsiTheme="majorHAnsi" w:cstheme="majorHAnsi"/>
          <w:shd w:val="clear" w:color="auto" w:fill="FFFFFF"/>
        </w:rPr>
        <w:t xml:space="preserve"> </w:t>
      </w:r>
      <w:r w:rsidR="00C4466E" w:rsidRPr="0006602B">
        <w:rPr>
          <w:rFonts w:asciiTheme="majorHAnsi" w:hAnsiTheme="majorHAnsi" w:cstheme="majorHAnsi"/>
          <w:shd w:val="clear" w:color="auto" w:fill="FFFFFF"/>
        </w:rPr>
        <w:t xml:space="preserve">Rapporto </w:t>
      </w:r>
      <w:r w:rsidRPr="0006602B">
        <w:rPr>
          <w:rFonts w:asciiTheme="majorHAnsi" w:hAnsiTheme="majorHAnsi" w:cstheme="majorHAnsi"/>
          <w:shd w:val="clear" w:color="auto" w:fill="FFFFFF"/>
        </w:rPr>
        <w:t xml:space="preserve">Inapp </w:t>
      </w:r>
      <w:r w:rsidR="00C4466E" w:rsidRPr="0006602B">
        <w:rPr>
          <w:rFonts w:asciiTheme="majorHAnsi" w:hAnsiTheme="majorHAnsi" w:cstheme="majorHAnsi"/>
          <w:shd w:val="clear" w:color="auto" w:fill="FFFFFF"/>
        </w:rPr>
        <w:t>2021</w:t>
      </w:r>
      <w:r w:rsidRPr="0006602B">
        <w:rPr>
          <w:rFonts w:asciiTheme="majorHAnsi" w:hAnsiTheme="majorHAnsi" w:cstheme="majorHAnsi"/>
          <w:shd w:val="clear" w:color="auto" w:fill="FFFFFF"/>
        </w:rPr>
        <w:t xml:space="preserve"> fotografa</w:t>
      </w:r>
      <w:r w:rsidR="002718B8" w:rsidRPr="0006602B">
        <w:rPr>
          <w:rFonts w:asciiTheme="majorHAnsi" w:hAnsiTheme="majorHAnsi" w:cstheme="majorHAnsi"/>
          <w:shd w:val="clear" w:color="auto" w:fill="FFFFFF"/>
        </w:rPr>
        <w:t>, per la prima volta,</w:t>
      </w:r>
      <w:r w:rsidRPr="0006602B">
        <w:rPr>
          <w:rFonts w:asciiTheme="majorHAnsi" w:hAnsiTheme="majorHAnsi" w:cstheme="majorHAnsi"/>
          <w:shd w:val="clear" w:color="auto" w:fill="FFFFFF"/>
        </w:rPr>
        <w:t xml:space="preserve"> la sh</w:t>
      </w:r>
      <w:r w:rsidR="002718B8" w:rsidRPr="0006602B">
        <w:rPr>
          <w:rFonts w:asciiTheme="majorHAnsi" w:hAnsiTheme="majorHAnsi" w:cstheme="majorHAnsi"/>
          <w:shd w:val="clear" w:color="auto" w:fill="FFFFFF"/>
        </w:rPr>
        <w:t>ecession italiana: a</w:t>
      </w:r>
      <w:r w:rsidR="00507861" w:rsidRPr="0006602B">
        <w:rPr>
          <w:rFonts w:asciiTheme="majorHAnsi" w:hAnsiTheme="majorHAnsi" w:cstheme="majorHAnsi"/>
        </w:rPr>
        <w:t xml:space="preserve"> dicembre 2020, le donne occupate sono 9 milioni e 530mila e gli uomini 13 milioni e 330mila. Rispetto all’anno precedente si contano 444mila persone occupate in meno, di cui 312mila donne, corrispondente ad un calo del 3,6% per le donne e del 2% per gli uomini. Rispetto alla tipologia di lavoro, le donne occupate sono diminuite del 2,6 </w:t>
      </w:r>
      <w:r w:rsidR="002F7C46">
        <w:rPr>
          <w:rFonts w:asciiTheme="majorHAnsi" w:hAnsiTheme="majorHAnsi" w:cstheme="majorHAnsi"/>
        </w:rPr>
        <w:t xml:space="preserve">% nel lavoro dipendente (contro </w:t>
      </w:r>
      <w:r w:rsidR="00507861" w:rsidRPr="0006602B">
        <w:rPr>
          <w:rFonts w:asciiTheme="majorHAnsi" w:hAnsiTheme="majorHAnsi" w:cstheme="majorHAnsi"/>
        </w:rPr>
        <w:t>l’1,9% degli uomini) e dell’8,3% nel lavoro indipendente (contro il corrispondente -2,5% maschile)</w:t>
      </w:r>
      <w:r w:rsidR="005F5C4C" w:rsidRPr="0006602B">
        <w:rPr>
          <w:rFonts w:asciiTheme="majorHAnsi" w:hAnsiTheme="majorHAnsi" w:cstheme="majorHAnsi"/>
        </w:rPr>
        <w:t xml:space="preserve">. </w:t>
      </w:r>
    </w:p>
    <w:p w14:paraId="3674018B" w14:textId="582FB59F" w:rsidR="008205E1" w:rsidRPr="0006602B" w:rsidRDefault="000D2580" w:rsidP="00507861">
      <w:pPr>
        <w:jc w:val="both"/>
        <w:rPr>
          <w:rFonts w:asciiTheme="majorHAnsi" w:hAnsiTheme="majorHAnsi" w:cstheme="majorHAnsi"/>
        </w:rPr>
      </w:pPr>
      <w:r w:rsidRPr="0006602B">
        <w:rPr>
          <w:rFonts w:asciiTheme="majorHAnsi" w:hAnsiTheme="majorHAnsi" w:cstheme="majorHAnsi"/>
        </w:rPr>
        <w:t>Sono diversi i fattori che hanno incrementato la shecession in Italia: la composizione settoriale dell’occupazione,  per cui le donne lavorano, più degli uomini, nei settori e nei servizi oggetto a lungo di misure restrittive e di chiusure disposte nel rispetto del distanziamento sociale</w:t>
      </w:r>
      <w:r w:rsidR="00801000" w:rsidRPr="0006602B">
        <w:rPr>
          <w:rFonts w:asciiTheme="majorHAnsi" w:hAnsiTheme="majorHAnsi" w:cstheme="majorHAnsi"/>
        </w:rPr>
        <w:t xml:space="preserve"> e che attualmente faticano a riprendersi</w:t>
      </w:r>
      <w:r w:rsidRPr="0006602B">
        <w:rPr>
          <w:rFonts w:asciiTheme="majorHAnsi" w:hAnsiTheme="majorHAnsi" w:cstheme="majorHAnsi"/>
        </w:rPr>
        <w:t xml:space="preserve">; il mancato rinnovo dei contratti a termine, </w:t>
      </w:r>
      <w:r w:rsidR="00CA4655" w:rsidRPr="0006602B">
        <w:rPr>
          <w:rFonts w:asciiTheme="majorHAnsi" w:hAnsiTheme="majorHAnsi" w:cstheme="majorHAnsi"/>
        </w:rPr>
        <w:t xml:space="preserve">in cui le donne sono da sempre presenti in proporzione maggiore, </w:t>
      </w:r>
      <w:r w:rsidRPr="0006602B">
        <w:rPr>
          <w:rFonts w:asciiTheme="majorHAnsi" w:hAnsiTheme="majorHAnsi" w:cstheme="majorHAnsi"/>
        </w:rPr>
        <w:t>che ha riguardato il 16,2% delle donne contro il -12,4% degli uomini; la riduzione di nuovi rapporti di lavoro che è stata nel 2020 molto più marcata per le donne (-</w:t>
      </w:r>
      <w:r w:rsidRPr="0006602B">
        <w:rPr>
          <w:rFonts w:asciiTheme="majorHAnsi" w:eastAsia="Times New Roman" w:hAnsiTheme="majorHAnsi" w:cstheme="majorHAnsi"/>
        </w:rPr>
        <w:t xml:space="preserve">1.975.042) che per gli uomini (-1.486.079) in quasi tutte le tipologie contrattuali </w:t>
      </w:r>
      <w:r w:rsidRPr="0006602B">
        <w:rPr>
          <w:rFonts w:asciiTheme="majorHAnsi" w:hAnsiTheme="majorHAnsi" w:cstheme="majorHAnsi"/>
        </w:rPr>
        <w:t>(nel tempo determinato -52% donne e -48% uomini; nell’apprendistato -51% donne e -47% uomini; nel lavoro stagionale -34% donne e -31% uomini).</w:t>
      </w:r>
      <w:r w:rsidR="008205E1" w:rsidRPr="0006602B">
        <w:rPr>
          <w:rFonts w:asciiTheme="majorHAnsi" w:hAnsiTheme="majorHAnsi" w:cstheme="majorHAnsi"/>
        </w:rPr>
        <w:t xml:space="preserve"> </w:t>
      </w:r>
      <w:r w:rsidR="00CA4655" w:rsidRPr="0006602B">
        <w:rPr>
          <w:rFonts w:asciiTheme="majorHAnsi" w:hAnsiTheme="majorHAnsi" w:cstheme="majorHAnsi"/>
        </w:rPr>
        <w:t xml:space="preserve">Fattore incisivo sulla partecipazione femminile complessiva è stato anche il crescente onere di cura su anziani e minori (aggravato dall’emergenza sanitaria e dalla didattica a distanza) che ha rafforzato l’etichetta per le donne over 40 di </w:t>
      </w:r>
      <w:r w:rsidR="006D2380" w:rsidRPr="0006602B">
        <w:rPr>
          <w:rFonts w:asciiTheme="majorHAnsi" w:hAnsiTheme="majorHAnsi" w:cstheme="majorHAnsi"/>
        </w:rPr>
        <w:t>“</w:t>
      </w:r>
      <w:r w:rsidR="00CA4655" w:rsidRPr="0006602B">
        <w:rPr>
          <w:rFonts w:asciiTheme="majorHAnsi" w:hAnsiTheme="majorHAnsi" w:cstheme="majorHAnsi"/>
        </w:rPr>
        <w:t>san</w:t>
      </w:r>
      <w:r w:rsidR="00F228A0" w:rsidRPr="0006602B">
        <w:rPr>
          <w:rFonts w:asciiTheme="majorHAnsi" w:hAnsiTheme="majorHAnsi" w:cstheme="majorHAnsi"/>
        </w:rPr>
        <w:t>d</w:t>
      </w:r>
      <w:r w:rsidR="00CA4655" w:rsidRPr="0006602B">
        <w:rPr>
          <w:rFonts w:asciiTheme="majorHAnsi" w:hAnsiTheme="majorHAnsi" w:cstheme="majorHAnsi"/>
        </w:rPr>
        <w:t>wich generation</w:t>
      </w:r>
      <w:r w:rsidR="0025440E" w:rsidRPr="0006602B">
        <w:rPr>
          <w:rFonts w:asciiTheme="majorHAnsi" w:hAnsiTheme="majorHAnsi" w:cstheme="majorHAnsi"/>
        </w:rPr>
        <w:t>”.</w:t>
      </w:r>
    </w:p>
    <w:p w14:paraId="28AB0699" w14:textId="396A6111" w:rsidR="00801000" w:rsidRDefault="00507861" w:rsidP="00801000">
      <w:pPr>
        <w:jc w:val="both"/>
        <w:rPr>
          <w:rFonts w:asciiTheme="majorHAnsi" w:eastAsia="Calibri" w:hAnsiTheme="majorHAnsi" w:cstheme="majorHAnsi"/>
          <w:szCs w:val="21"/>
        </w:rPr>
      </w:pPr>
      <w:r w:rsidRPr="0006602B">
        <w:rPr>
          <w:rFonts w:cs="Calibri"/>
          <w:szCs w:val="21"/>
        </w:rPr>
        <w:lastRenderedPageBreak/>
        <w:t>“</w:t>
      </w:r>
      <w:r w:rsidRPr="0006602B">
        <w:rPr>
          <w:rFonts w:asciiTheme="majorHAnsi" w:eastAsia="Times New Roman" w:hAnsiTheme="majorHAnsi" w:cstheme="majorHAnsi"/>
        </w:rPr>
        <w:t>Ora serve un</w:t>
      </w:r>
      <w:r w:rsidR="006D2380" w:rsidRPr="0006602B">
        <w:rPr>
          <w:rFonts w:asciiTheme="majorHAnsi" w:eastAsia="Times New Roman" w:hAnsiTheme="majorHAnsi" w:cstheme="majorHAnsi"/>
        </w:rPr>
        <w:t xml:space="preserve"> nuovo impegno</w:t>
      </w:r>
      <w:r w:rsidRPr="0006602B">
        <w:rPr>
          <w:rFonts w:asciiTheme="majorHAnsi" w:eastAsia="Times New Roman" w:hAnsiTheme="majorHAnsi" w:cstheme="majorHAnsi"/>
        </w:rPr>
        <w:t xml:space="preserve"> che favorisca</w:t>
      </w:r>
      <w:r w:rsidR="006D2380" w:rsidRPr="0006602B">
        <w:rPr>
          <w:rFonts w:asciiTheme="majorHAnsi" w:eastAsia="Times New Roman" w:hAnsiTheme="majorHAnsi" w:cstheme="majorHAnsi"/>
        </w:rPr>
        <w:t xml:space="preserve"> </w:t>
      </w:r>
      <w:r w:rsidR="0025440E" w:rsidRPr="0006602B">
        <w:rPr>
          <w:rFonts w:asciiTheme="majorHAnsi" w:eastAsia="Times New Roman" w:hAnsiTheme="majorHAnsi" w:cstheme="majorHAnsi"/>
        </w:rPr>
        <w:t>una modifica</w:t>
      </w:r>
      <w:r w:rsidRPr="0006602B">
        <w:rPr>
          <w:rFonts w:asciiTheme="majorHAnsi" w:eastAsia="Times New Roman" w:hAnsiTheme="majorHAnsi" w:cstheme="majorHAnsi"/>
        </w:rPr>
        <w:t xml:space="preserve"> di queste quote e metta seriamente al centro dell’agenda politica la questione dell’innalzamento del tasso di occupazione femminile, da più</w:t>
      </w:r>
      <w:r w:rsidR="002718B8" w:rsidRPr="0006602B">
        <w:rPr>
          <w:rFonts w:asciiTheme="majorHAnsi" w:eastAsia="Times New Roman" w:hAnsiTheme="majorHAnsi" w:cstheme="majorHAnsi"/>
        </w:rPr>
        <w:t xml:space="preserve"> di 30 anni al di sotto del 48% - </w:t>
      </w:r>
      <w:r w:rsidR="002F7C46">
        <w:rPr>
          <w:rFonts w:asciiTheme="majorHAnsi" w:eastAsia="Times New Roman" w:hAnsiTheme="majorHAnsi" w:cstheme="majorHAnsi"/>
        </w:rPr>
        <w:t xml:space="preserve">ha spiegato il prof. Sebastiano </w:t>
      </w:r>
      <w:r w:rsidR="002718B8" w:rsidRPr="0006602B">
        <w:rPr>
          <w:rFonts w:asciiTheme="majorHAnsi" w:eastAsia="Times New Roman" w:hAnsiTheme="majorHAnsi" w:cstheme="majorHAnsi"/>
        </w:rPr>
        <w:t>Fadda, presidente dell’Inapp</w:t>
      </w:r>
      <w:r w:rsidR="0025440E" w:rsidRPr="0006602B">
        <w:rPr>
          <w:rFonts w:asciiTheme="majorHAnsi" w:eastAsia="Times New Roman" w:hAnsiTheme="majorHAnsi" w:cstheme="majorHAnsi"/>
        </w:rPr>
        <w:t xml:space="preserve"> - “</w:t>
      </w:r>
      <w:r w:rsidR="002718B8" w:rsidRPr="0006602B">
        <w:rPr>
          <w:rFonts w:asciiTheme="majorHAnsi" w:eastAsia="Times New Roman" w:hAnsiTheme="majorHAnsi" w:cstheme="majorHAnsi"/>
        </w:rPr>
        <w:t>In particolare sono due le direzioni da intraprendere</w:t>
      </w:r>
      <w:r w:rsidR="00815167" w:rsidRPr="0006602B">
        <w:rPr>
          <w:rFonts w:asciiTheme="majorHAnsi" w:eastAsia="Times New Roman" w:hAnsiTheme="majorHAnsi" w:cstheme="majorHAnsi"/>
        </w:rPr>
        <w:t xml:space="preserve">: primo, invertire l’ottica con cui guardare il fenomeno. </w:t>
      </w:r>
      <w:r w:rsidR="00EC5DD6" w:rsidRPr="0006602B">
        <w:rPr>
          <w:rFonts w:asciiTheme="majorHAnsi" w:eastAsia="Times New Roman" w:hAnsiTheme="majorHAnsi" w:cstheme="majorHAnsi"/>
        </w:rPr>
        <w:t>Non esiste una misura ‘risolutiva’ ma serve una strategia di policy mix che</w:t>
      </w:r>
      <w:r w:rsidR="00056763" w:rsidRPr="0006602B">
        <w:rPr>
          <w:rFonts w:asciiTheme="majorHAnsi" w:eastAsia="Times New Roman" w:hAnsiTheme="majorHAnsi" w:cstheme="majorHAnsi"/>
        </w:rPr>
        <w:t xml:space="preserve"> </w:t>
      </w:r>
      <w:r w:rsidR="00EC5DD6" w:rsidRPr="0006602B">
        <w:rPr>
          <w:rFonts w:asciiTheme="majorHAnsi" w:eastAsia="Times New Roman" w:hAnsiTheme="majorHAnsi" w:cstheme="majorHAnsi"/>
        </w:rPr>
        <w:t xml:space="preserve">integri domanda ed offerta di lavoro, nel breve e nel lungo periodo, per affrontare la complessità delle determinanti </w:t>
      </w:r>
      <w:r w:rsidR="00283B47" w:rsidRPr="0006602B">
        <w:rPr>
          <w:rFonts w:asciiTheme="majorHAnsi" w:eastAsia="Times New Roman" w:hAnsiTheme="majorHAnsi" w:cstheme="majorHAnsi"/>
        </w:rPr>
        <w:t>del</w:t>
      </w:r>
      <w:r w:rsidR="00EC5DD6" w:rsidRPr="0006602B">
        <w:rPr>
          <w:rFonts w:asciiTheme="majorHAnsi" w:eastAsia="Times New Roman" w:hAnsiTheme="majorHAnsi" w:cstheme="majorHAnsi"/>
        </w:rPr>
        <w:t xml:space="preserve">la bassa occupazione femminile. </w:t>
      </w:r>
      <w:r w:rsidR="0001707B" w:rsidRPr="0006602B">
        <w:rPr>
          <w:rFonts w:asciiTheme="majorHAnsi" w:eastAsia="Times New Roman" w:hAnsiTheme="majorHAnsi" w:cstheme="majorHAnsi"/>
        </w:rPr>
        <w:t>S</w:t>
      </w:r>
      <w:r w:rsidR="00815167" w:rsidRPr="0006602B">
        <w:rPr>
          <w:rFonts w:asciiTheme="majorHAnsi" w:eastAsia="Times New Roman" w:hAnsiTheme="majorHAnsi" w:cstheme="majorHAnsi"/>
        </w:rPr>
        <w:t xml:space="preserve">inora </w:t>
      </w:r>
      <w:r w:rsidR="0001707B" w:rsidRPr="0006602B">
        <w:rPr>
          <w:rFonts w:asciiTheme="majorHAnsi" w:eastAsia="Times New Roman" w:hAnsiTheme="majorHAnsi" w:cstheme="majorHAnsi"/>
        </w:rPr>
        <w:t xml:space="preserve">sono state prevalenti </w:t>
      </w:r>
      <w:r w:rsidR="00283B47" w:rsidRPr="0006602B">
        <w:rPr>
          <w:rFonts w:asciiTheme="majorHAnsi" w:eastAsia="Times New Roman" w:hAnsiTheme="majorHAnsi" w:cstheme="majorHAnsi"/>
        </w:rPr>
        <w:t>misure</w:t>
      </w:r>
      <w:r w:rsidR="0025440E" w:rsidRPr="0006602B">
        <w:rPr>
          <w:rFonts w:asciiTheme="majorHAnsi" w:eastAsia="Times New Roman" w:hAnsiTheme="majorHAnsi" w:cstheme="majorHAnsi"/>
        </w:rPr>
        <w:t xml:space="preserve"> di breve periodo, </w:t>
      </w:r>
      <w:r w:rsidR="0001707B" w:rsidRPr="0006602B">
        <w:rPr>
          <w:rFonts w:asciiTheme="majorHAnsi" w:eastAsia="Times New Roman" w:hAnsiTheme="majorHAnsi" w:cstheme="majorHAnsi"/>
        </w:rPr>
        <w:t>(come trasferimenti monetari</w:t>
      </w:r>
      <w:r w:rsidR="00283B47" w:rsidRPr="0006602B">
        <w:rPr>
          <w:rFonts w:asciiTheme="majorHAnsi" w:eastAsia="Times New Roman" w:hAnsiTheme="majorHAnsi" w:cstheme="majorHAnsi"/>
        </w:rPr>
        <w:t>,</w:t>
      </w:r>
      <w:r w:rsidR="0001707B" w:rsidRPr="0006602B">
        <w:rPr>
          <w:rFonts w:asciiTheme="majorHAnsi" w:eastAsia="Times New Roman" w:hAnsiTheme="majorHAnsi" w:cstheme="majorHAnsi"/>
        </w:rPr>
        <w:t xml:space="preserve"> </w:t>
      </w:r>
      <w:r w:rsidR="00815167" w:rsidRPr="0006602B">
        <w:rPr>
          <w:rFonts w:asciiTheme="majorHAnsi" w:eastAsia="Times New Roman" w:hAnsiTheme="majorHAnsi" w:cstheme="majorHAnsi"/>
        </w:rPr>
        <w:t>bonus, voucher, assegni, ma anche incentivi fiscali e decontribuzioni</w:t>
      </w:r>
      <w:r w:rsidR="00283B47" w:rsidRPr="0006602B">
        <w:rPr>
          <w:rFonts w:asciiTheme="majorHAnsi" w:eastAsia="Times New Roman" w:hAnsiTheme="majorHAnsi" w:cstheme="majorHAnsi"/>
        </w:rPr>
        <w:t>), orientate ad affrontare le manifestazioni del fenomeno piuttosto che le sue cause, mentre</w:t>
      </w:r>
      <w:r w:rsidR="00815167" w:rsidRPr="0006602B">
        <w:rPr>
          <w:rFonts w:asciiTheme="majorHAnsi" w:eastAsia="Times New Roman" w:hAnsiTheme="majorHAnsi" w:cstheme="majorHAnsi"/>
        </w:rPr>
        <w:t xml:space="preserve"> minore attenzione è stata</w:t>
      </w:r>
      <w:r w:rsidR="00283B47" w:rsidRPr="0006602B">
        <w:rPr>
          <w:rFonts w:asciiTheme="majorHAnsi" w:eastAsia="Times New Roman" w:hAnsiTheme="majorHAnsi" w:cstheme="majorHAnsi"/>
        </w:rPr>
        <w:t xml:space="preserve"> dedicata</w:t>
      </w:r>
      <w:r w:rsidR="00815167" w:rsidRPr="0006602B">
        <w:rPr>
          <w:rFonts w:asciiTheme="majorHAnsi" w:eastAsia="Times New Roman" w:hAnsiTheme="majorHAnsi" w:cstheme="majorHAnsi"/>
        </w:rPr>
        <w:t xml:space="preserve"> a </w:t>
      </w:r>
      <w:r w:rsidR="0025440E" w:rsidRPr="0006602B">
        <w:rPr>
          <w:rFonts w:asciiTheme="majorHAnsi" w:eastAsia="Times New Roman" w:hAnsiTheme="majorHAnsi" w:cstheme="majorHAnsi"/>
        </w:rPr>
        <w:t>elaborare strategie</w:t>
      </w:r>
      <w:r w:rsidR="00815167" w:rsidRPr="0006602B">
        <w:rPr>
          <w:rFonts w:asciiTheme="majorHAnsi" w:eastAsia="Times New Roman" w:hAnsiTheme="majorHAnsi" w:cstheme="majorHAnsi"/>
        </w:rPr>
        <w:t xml:space="preserve"> di lungo periodo </w:t>
      </w:r>
      <w:r w:rsidR="001F3822" w:rsidRPr="0006602B">
        <w:rPr>
          <w:rFonts w:asciiTheme="majorHAnsi" w:eastAsia="Times New Roman" w:hAnsiTheme="majorHAnsi" w:cstheme="majorHAnsi"/>
        </w:rPr>
        <w:t>capaci di incidere sulle cause strutturali all’origine del fenomeno, cause a volte nascosta sotto un’apparente profilo di neutralità di genere delle dinamiche economiche e sociali</w:t>
      </w:r>
      <w:r w:rsidR="0025440E" w:rsidRPr="0006602B">
        <w:rPr>
          <w:rFonts w:asciiTheme="majorHAnsi" w:eastAsia="Times New Roman" w:hAnsiTheme="majorHAnsi" w:cstheme="majorHAnsi"/>
        </w:rPr>
        <w:t xml:space="preserve">. </w:t>
      </w:r>
      <w:r w:rsidR="00801000" w:rsidRPr="0006602B">
        <w:rPr>
          <w:rFonts w:asciiTheme="majorHAnsi" w:eastAsia="Times New Roman" w:hAnsiTheme="majorHAnsi" w:cstheme="majorHAnsi"/>
        </w:rPr>
        <w:t>Secondo, non perdere l’occasione del</w:t>
      </w:r>
      <w:r w:rsidR="00056763" w:rsidRPr="0006602B">
        <w:rPr>
          <w:rFonts w:asciiTheme="majorHAnsi" w:eastAsia="Times New Roman" w:hAnsiTheme="majorHAnsi" w:cstheme="majorHAnsi"/>
        </w:rPr>
        <w:t xml:space="preserve"> PNRR</w:t>
      </w:r>
      <w:r w:rsidR="00801000" w:rsidRPr="0006602B">
        <w:rPr>
          <w:rFonts w:asciiTheme="majorHAnsi" w:eastAsia="Times New Roman" w:hAnsiTheme="majorHAnsi" w:cstheme="majorHAnsi"/>
        </w:rPr>
        <w:t>.</w:t>
      </w:r>
      <w:r w:rsidR="00056763" w:rsidRPr="0006602B">
        <w:rPr>
          <w:rFonts w:asciiTheme="majorHAnsi" w:eastAsia="Times New Roman" w:hAnsiTheme="majorHAnsi" w:cstheme="majorHAnsi"/>
        </w:rPr>
        <w:t xml:space="preserve"> </w:t>
      </w:r>
      <w:bookmarkEnd w:id="0"/>
      <w:r w:rsidR="00583BA3" w:rsidRPr="0006602B">
        <w:rPr>
          <w:rFonts w:asciiTheme="majorHAnsi" w:eastAsia="Calibri" w:hAnsiTheme="majorHAnsi" w:cstheme="majorHAnsi"/>
          <w:szCs w:val="21"/>
        </w:rPr>
        <w:t xml:space="preserve">La clausola di condizionalità, </w:t>
      </w:r>
      <w:r w:rsidR="00CA4655" w:rsidRPr="0006602B">
        <w:rPr>
          <w:rFonts w:asciiTheme="majorHAnsi" w:eastAsia="Calibri" w:hAnsiTheme="majorHAnsi" w:cstheme="majorHAnsi"/>
          <w:szCs w:val="21"/>
        </w:rPr>
        <w:t xml:space="preserve">recepita </w:t>
      </w:r>
      <w:r w:rsidR="002718B8" w:rsidRPr="0006602B">
        <w:rPr>
          <w:rFonts w:cstheme="minorHAnsi"/>
        </w:rPr>
        <w:t xml:space="preserve">dal </w:t>
      </w:r>
      <w:r w:rsidR="00CA4655" w:rsidRPr="0006602B">
        <w:rPr>
          <w:rFonts w:asciiTheme="majorHAnsi" w:eastAsia="Calibri" w:hAnsiTheme="majorHAnsi" w:cstheme="majorHAnsi"/>
          <w:szCs w:val="21"/>
        </w:rPr>
        <w:t>Decreto sostegni</w:t>
      </w:r>
      <w:r w:rsidR="002718B8" w:rsidRPr="0006602B">
        <w:rPr>
          <w:rFonts w:asciiTheme="majorHAnsi" w:eastAsia="Calibri" w:hAnsiTheme="majorHAnsi" w:cstheme="majorHAnsi"/>
          <w:szCs w:val="21"/>
        </w:rPr>
        <w:t>,</w:t>
      </w:r>
      <w:r w:rsidR="00CA4655" w:rsidRPr="0006602B">
        <w:rPr>
          <w:rFonts w:asciiTheme="majorHAnsi" w:eastAsia="Calibri" w:hAnsiTheme="majorHAnsi" w:cstheme="majorHAnsi"/>
          <w:szCs w:val="21"/>
        </w:rPr>
        <w:t xml:space="preserve"> </w:t>
      </w:r>
      <w:r w:rsidR="00F228A0" w:rsidRPr="0006602B">
        <w:rPr>
          <w:rFonts w:asciiTheme="majorHAnsi" w:eastAsia="Calibri" w:hAnsiTheme="majorHAnsi" w:cstheme="majorHAnsi"/>
          <w:szCs w:val="21"/>
        </w:rPr>
        <w:t>che richiede il 30% di giovani under 36 e di donne sul complesso</w:t>
      </w:r>
      <w:r w:rsidR="00583BA3" w:rsidRPr="0006602B">
        <w:rPr>
          <w:rFonts w:asciiTheme="majorHAnsi" w:eastAsia="Calibri" w:hAnsiTheme="majorHAnsi" w:cstheme="majorHAnsi"/>
          <w:szCs w:val="21"/>
        </w:rPr>
        <w:t xml:space="preserve"> </w:t>
      </w:r>
      <w:r w:rsidR="00F228A0" w:rsidRPr="0006602B">
        <w:rPr>
          <w:rFonts w:asciiTheme="majorHAnsi" w:eastAsia="Calibri" w:hAnsiTheme="majorHAnsi" w:cstheme="majorHAnsi"/>
          <w:szCs w:val="21"/>
        </w:rPr>
        <w:t>del</w:t>
      </w:r>
      <w:r w:rsidR="00583BA3" w:rsidRPr="0006602B">
        <w:rPr>
          <w:rFonts w:asciiTheme="majorHAnsi" w:eastAsia="Calibri" w:hAnsiTheme="majorHAnsi" w:cstheme="majorHAnsi"/>
          <w:szCs w:val="21"/>
        </w:rPr>
        <w:t xml:space="preserve">le nuove assunzioni </w:t>
      </w:r>
      <w:r w:rsidR="00CA4655" w:rsidRPr="0006602B">
        <w:rPr>
          <w:rFonts w:asciiTheme="majorHAnsi" w:eastAsia="Calibri" w:hAnsiTheme="majorHAnsi" w:cstheme="majorHAnsi"/>
          <w:szCs w:val="21"/>
        </w:rPr>
        <w:t>sui progetti del PNRR</w:t>
      </w:r>
      <w:r w:rsidR="00F228A0" w:rsidRPr="0006602B">
        <w:rPr>
          <w:rFonts w:asciiTheme="majorHAnsi" w:eastAsia="Calibri" w:hAnsiTheme="majorHAnsi" w:cstheme="majorHAnsi"/>
          <w:szCs w:val="21"/>
        </w:rPr>
        <w:t>, può rappresenta</w:t>
      </w:r>
      <w:r w:rsidR="00C54D6D" w:rsidRPr="0006602B">
        <w:rPr>
          <w:rFonts w:asciiTheme="majorHAnsi" w:eastAsia="Calibri" w:hAnsiTheme="majorHAnsi" w:cstheme="majorHAnsi"/>
          <w:szCs w:val="21"/>
        </w:rPr>
        <w:t xml:space="preserve">re una </w:t>
      </w:r>
      <w:r w:rsidR="00F228A0" w:rsidRPr="0006602B">
        <w:rPr>
          <w:rFonts w:asciiTheme="majorHAnsi" w:eastAsia="Calibri" w:hAnsiTheme="majorHAnsi" w:cstheme="majorHAnsi"/>
          <w:szCs w:val="21"/>
        </w:rPr>
        <w:t xml:space="preserve">chance per </w:t>
      </w:r>
      <w:r w:rsidR="00C54D6D" w:rsidRPr="0006602B">
        <w:rPr>
          <w:rFonts w:asciiTheme="majorHAnsi" w:eastAsia="Calibri" w:hAnsiTheme="majorHAnsi" w:cstheme="majorHAnsi"/>
          <w:szCs w:val="21"/>
        </w:rPr>
        <w:t>uscire dalla shecession.</w:t>
      </w:r>
      <w:r w:rsidR="00F228A0" w:rsidRPr="0006602B">
        <w:rPr>
          <w:rFonts w:asciiTheme="majorHAnsi" w:eastAsia="Calibri" w:hAnsiTheme="majorHAnsi" w:cstheme="majorHAnsi"/>
          <w:szCs w:val="21"/>
        </w:rPr>
        <w:t xml:space="preserve"> L’Istituto </w:t>
      </w:r>
      <w:r w:rsidR="002718B8" w:rsidRPr="0006602B">
        <w:rPr>
          <w:rFonts w:asciiTheme="majorHAnsi" w:eastAsia="Calibri" w:hAnsiTheme="majorHAnsi" w:cstheme="majorHAnsi"/>
          <w:szCs w:val="21"/>
        </w:rPr>
        <w:t xml:space="preserve">– ha concluso Fadda - </w:t>
      </w:r>
      <w:r w:rsidR="00F228A0" w:rsidRPr="0006602B">
        <w:rPr>
          <w:rFonts w:asciiTheme="majorHAnsi" w:eastAsia="Calibri" w:hAnsiTheme="majorHAnsi" w:cstheme="majorHAnsi"/>
          <w:szCs w:val="21"/>
        </w:rPr>
        <w:t xml:space="preserve">monitorerà l’andamento di questa misura, altamente innovativa nel sistema del </w:t>
      </w:r>
      <w:r w:rsidR="00F228A0" w:rsidRPr="0006602B">
        <w:rPr>
          <w:rFonts w:asciiTheme="majorHAnsi" w:eastAsia="Calibri" w:hAnsiTheme="majorHAnsi" w:cstheme="majorHAnsi"/>
          <w:i/>
          <w:szCs w:val="21"/>
        </w:rPr>
        <w:t>public procurement</w:t>
      </w:r>
      <w:r w:rsidR="00F228A0" w:rsidRPr="0006602B">
        <w:rPr>
          <w:rFonts w:asciiTheme="majorHAnsi" w:eastAsia="Calibri" w:hAnsiTheme="majorHAnsi" w:cstheme="majorHAnsi"/>
          <w:szCs w:val="21"/>
        </w:rPr>
        <w:t>”.</w:t>
      </w:r>
    </w:p>
    <w:p w14:paraId="7546F220" w14:textId="77777777" w:rsidR="00A15DB0" w:rsidRDefault="00A15DB0" w:rsidP="00801000">
      <w:pPr>
        <w:jc w:val="both"/>
        <w:rPr>
          <w:rFonts w:asciiTheme="majorHAnsi" w:eastAsia="Calibri" w:hAnsiTheme="majorHAnsi" w:cstheme="majorHAnsi"/>
          <w:szCs w:val="21"/>
        </w:rPr>
      </w:pPr>
    </w:p>
    <w:p w14:paraId="28C6605C" w14:textId="17BED34B" w:rsidR="00A15DB0" w:rsidRPr="00B94D85" w:rsidRDefault="00A15DB0" w:rsidP="00A15DB0">
      <w:pPr>
        <w:spacing w:after="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94D85">
        <w:rPr>
          <w:rFonts w:asciiTheme="majorHAnsi" w:eastAsia="Calibri" w:hAnsiTheme="majorHAnsi" w:cstheme="majorHAnsi"/>
          <w:sz w:val="24"/>
          <w:szCs w:val="24"/>
        </w:rPr>
        <w:t>Per maggiori informazioni:</w:t>
      </w:r>
    </w:p>
    <w:p w14:paraId="5D6B607E" w14:textId="77777777" w:rsidR="00A15DB0" w:rsidRPr="00B94D85" w:rsidRDefault="00A15DB0" w:rsidP="00A15DB0">
      <w:pPr>
        <w:spacing w:after="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94D85">
        <w:rPr>
          <w:rFonts w:asciiTheme="majorHAnsi" w:eastAsia="Calibri" w:hAnsiTheme="majorHAnsi" w:cstheme="majorHAnsi"/>
          <w:sz w:val="24"/>
          <w:szCs w:val="24"/>
        </w:rPr>
        <w:t xml:space="preserve">Giancarlo Salemi </w:t>
      </w:r>
    </w:p>
    <w:p w14:paraId="7B61AF04" w14:textId="77777777" w:rsidR="00A15DB0" w:rsidRPr="00B94D85" w:rsidRDefault="00A15DB0" w:rsidP="00A15DB0">
      <w:pPr>
        <w:spacing w:after="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94D85">
        <w:rPr>
          <w:rFonts w:asciiTheme="majorHAnsi" w:eastAsia="Calibri" w:hAnsiTheme="majorHAnsi" w:cstheme="majorHAnsi"/>
          <w:sz w:val="24"/>
          <w:szCs w:val="24"/>
        </w:rPr>
        <w:t>Portavoce presidente Inapp (347 6312823)</w:t>
      </w:r>
    </w:p>
    <w:p w14:paraId="6D842636" w14:textId="77777777" w:rsidR="00A15DB0" w:rsidRPr="00B94D85" w:rsidRDefault="002F7C46" w:rsidP="00A15DB0">
      <w:pPr>
        <w:spacing w:after="0"/>
        <w:jc w:val="both"/>
        <w:rPr>
          <w:rFonts w:asciiTheme="majorHAnsi" w:eastAsia="Calibri" w:hAnsiTheme="majorHAnsi" w:cstheme="majorHAnsi"/>
          <w:sz w:val="24"/>
          <w:szCs w:val="24"/>
        </w:rPr>
      </w:pPr>
      <w:hyperlink r:id="rId8" w:history="1">
        <w:r w:rsidR="00A15DB0" w:rsidRPr="00B94D85">
          <w:rPr>
            <w:rStyle w:val="Collegamentoipertestuale"/>
            <w:rFonts w:asciiTheme="majorHAnsi" w:eastAsia="Calibri" w:hAnsiTheme="majorHAnsi" w:cstheme="majorHAnsi"/>
            <w:sz w:val="24"/>
            <w:szCs w:val="24"/>
          </w:rPr>
          <w:t>stampa@inapp.org</w:t>
        </w:r>
      </w:hyperlink>
      <w:r w:rsidR="00A15DB0" w:rsidRPr="00B94D85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11B185E6" w14:textId="77777777" w:rsidR="00A15DB0" w:rsidRDefault="00A15DB0" w:rsidP="00801000">
      <w:pPr>
        <w:jc w:val="both"/>
        <w:rPr>
          <w:rFonts w:asciiTheme="majorHAnsi" w:eastAsia="Calibri" w:hAnsiTheme="majorHAnsi" w:cstheme="majorHAnsi"/>
          <w:szCs w:val="21"/>
        </w:rPr>
      </w:pPr>
    </w:p>
    <w:sectPr w:rsidR="00A15D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E8DE6" w14:textId="77777777" w:rsidR="00017FEC" w:rsidRDefault="00017FEC" w:rsidP="00580171">
      <w:pPr>
        <w:spacing w:after="0" w:line="240" w:lineRule="auto"/>
      </w:pPr>
      <w:r>
        <w:separator/>
      </w:r>
    </w:p>
  </w:endnote>
  <w:endnote w:type="continuationSeparator" w:id="0">
    <w:p w14:paraId="3ED8C467" w14:textId="77777777" w:rsidR="00017FEC" w:rsidRDefault="00017FEC" w:rsidP="00580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oncini Garamond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7A025" w14:textId="77777777" w:rsidR="00017FEC" w:rsidRDefault="00017FEC" w:rsidP="00580171">
      <w:pPr>
        <w:spacing w:after="0" w:line="240" w:lineRule="auto"/>
      </w:pPr>
      <w:r>
        <w:separator/>
      </w:r>
    </w:p>
  </w:footnote>
  <w:footnote w:type="continuationSeparator" w:id="0">
    <w:p w14:paraId="41CDF200" w14:textId="77777777" w:rsidR="00017FEC" w:rsidRDefault="00017FEC" w:rsidP="00580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E7B9D"/>
    <w:multiLevelType w:val="hybridMultilevel"/>
    <w:tmpl w:val="F536A1EA"/>
    <w:lvl w:ilvl="0" w:tplc="2EF8487A">
      <w:start w:val="1"/>
      <w:numFmt w:val="lowerLetter"/>
      <w:pStyle w:val="Grigliatab31"/>
      <w:lvlText w:val="%1)"/>
      <w:lvlJc w:val="left"/>
      <w:pPr>
        <w:ind w:left="720" w:hanging="360"/>
      </w:pPr>
      <w:rPr>
        <w:rFonts w:cs="Times New Roman" w:hint="default"/>
        <w:color w:val="0F0F0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D2445"/>
    <w:multiLevelType w:val="multilevel"/>
    <w:tmpl w:val="BC5EF3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2.%3"/>
      <w:lvlJc w:val="righ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71"/>
    <w:rsid w:val="0001293E"/>
    <w:rsid w:val="0001707B"/>
    <w:rsid w:val="00017FEC"/>
    <w:rsid w:val="00056763"/>
    <w:rsid w:val="0006602B"/>
    <w:rsid w:val="000843AB"/>
    <w:rsid w:val="000D2580"/>
    <w:rsid w:val="001E5AA4"/>
    <w:rsid w:val="001F3822"/>
    <w:rsid w:val="00223F09"/>
    <w:rsid w:val="0025440E"/>
    <w:rsid w:val="002718B8"/>
    <w:rsid w:val="00283B47"/>
    <w:rsid w:val="002F7C46"/>
    <w:rsid w:val="00383A92"/>
    <w:rsid w:val="003D2B82"/>
    <w:rsid w:val="00455089"/>
    <w:rsid w:val="00507861"/>
    <w:rsid w:val="00580171"/>
    <w:rsid w:val="00583BA3"/>
    <w:rsid w:val="00591EA7"/>
    <w:rsid w:val="005F5C4C"/>
    <w:rsid w:val="006A0C51"/>
    <w:rsid w:val="006D2380"/>
    <w:rsid w:val="00737C90"/>
    <w:rsid w:val="00746D29"/>
    <w:rsid w:val="007C3A8C"/>
    <w:rsid w:val="00801000"/>
    <w:rsid w:val="00815167"/>
    <w:rsid w:val="008205E1"/>
    <w:rsid w:val="00923A67"/>
    <w:rsid w:val="00991206"/>
    <w:rsid w:val="00A15DB0"/>
    <w:rsid w:val="00A7540A"/>
    <w:rsid w:val="00A83F65"/>
    <w:rsid w:val="00B05A3F"/>
    <w:rsid w:val="00B221A4"/>
    <w:rsid w:val="00B47096"/>
    <w:rsid w:val="00C4466E"/>
    <w:rsid w:val="00C538DC"/>
    <w:rsid w:val="00C54D6D"/>
    <w:rsid w:val="00CA4655"/>
    <w:rsid w:val="00D90CB3"/>
    <w:rsid w:val="00EC5DD6"/>
    <w:rsid w:val="00F228A0"/>
    <w:rsid w:val="00F3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467F"/>
  <w15:chartTrackingRefBased/>
  <w15:docId w15:val="{A3A0BA88-A762-46D9-A8D4-486DB37F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IR Normale"/>
    <w:qFormat/>
    <w:rsid w:val="00580171"/>
  </w:style>
  <w:style w:type="paragraph" w:styleId="Titolo1">
    <w:name w:val="heading 1"/>
    <w:basedOn w:val="Normale"/>
    <w:next w:val="Normale"/>
    <w:link w:val="Titolo1Carattere"/>
    <w:uiPriority w:val="9"/>
    <w:qFormat/>
    <w:rsid w:val="005801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aliases w:val="IR Titolo 2,Titolo par."/>
    <w:basedOn w:val="Normale"/>
    <w:next w:val="Normale"/>
    <w:link w:val="Titolo2Carattere"/>
    <w:uiPriority w:val="9"/>
    <w:unhideWhenUsed/>
    <w:qFormat/>
    <w:rsid w:val="00580171"/>
    <w:pPr>
      <w:keepNext/>
      <w:tabs>
        <w:tab w:val="num" w:pos="720"/>
      </w:tabs>
      <w:spacing w:before="240" w:after="60" w:line="240" w:lineRule="auto"/>
      <w:ind w:left="720" w:hanging="360"/>
      <w:jc w:val="both"/>
      <w:outlineLvl w:val="1"/>
    </w:pPr>
    <w:rPr>
      <w:rFonts w:ascii="Calibri" w:eastAsia="Times New Roman" w:hAnsi="Calibri" w:cs="Times New Roman"/>
      <w:b/>
      <w:bCs/>
      <w:iCs/>
      <w:color w:val="323E4F" w:themeColor="text2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IR Titolo 2 Carattere,Titolo par. Carattere"/>
    <w:basedOn w:val="Carpredefinitoparagrafo"/>
    <w:link w:val="Titolo2"/>
    <w:uiPriority w:val="9"/>
    <w:rsid w:val="00580171"/>
    <w:rPr>
      <w:rFonts w:ascii="Calibri" w:eastAsia="Times New Roman" w:hAnsi="Calibri" w:cs="Times New Roman"/>
      <w:b/>
      <w:bCs/>
      <w:iCs/>
      <w:color w:val="323E4F" w:themeColor="text2" w:themeShade="BF"/>
      <w:sz w:val="28"/>
      <w:szCs w:val="28"/>
      <w:lang w:eastAsia="it-IT"/>
    </w:rPr>
  </w:style>
  <w:style w:type="paragraph" w:styleId="Testonotaapidipagina">
    <w:name w:val="footnote text"/>
    <w:aliases w:val="IR note,stile 1,Footnote,Footnote1,Footnote2,Footnote3,Footnote4,Footnote5,Footnote6,Footnote7,Footnote8,Footnote9,Footnote10,Footnote11,Footnote21,Footnote31,Footnote41,Footnote51,Footnote61,Footnote71,Footnote81,Footnote91"/>
    <w:link w:val="TestonotaapidipaginaCarattere"/>
    <w:uiPriority w:val="99"/>
    <w:qFormat/>
    <w:rsid w:val="00580171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16"/>
      <w:szCs w:val="19"/>
      <w:lang w:eastAsia="it-IT"/>
    </w:rPr>
  </w:style>
  <w:style w:type="character" w:customStyle="1" w:styleId="TestonotaapidipaginaCarattere">
    <w:name w:val="Testo nota a piè di pagina Carattere"/>
    <w:aliases w:val="IR note Carattere,stile 1 Carattere,Footnote Carattere,Footnote1 Carattere,Footnote2 Carattere,Footnote3 Carattere,Footnote4 Carattere,Footnote5 Carattere,Footnote6 Carattere,Footnote7 Carattere,Footnote8 Carattere"/>
    <w:basedOn w:val="Carpredefinitoparagrafo"/>
    <w:link w:val="Testonotaapidipagina"/>
    <w:uiPriority w:val="99"/>
    <w:qFormat/>
    <w:rsid w:val="00580171"/>
    <w:rPr>
      <w:rFonts w:ascii="Calibri" w:eastAsia="Times New Roman" w:hAnsi="Calibri" w:cs="Times New Roman"/>
      <w:sz w:val="16"/>
      <w:szCs w:val="19"/>
      <w:lang w:eastAsia="it-IT"/>
    </w:rPr>
  </w:style>
  <w:style w:type="character" w:styleId="Rimandonotaapidipagina">
    <w:name w:val="footnote reference"/>
    <w:aliases w:val="Rimando nota a piè di pagina FSE,RP Rimando nota a piè di pagina,Footnote symbol,Voetnootverwijzing,Rimando nota a piè di pagina-IMONT,OP Rimando nota a piè di pagina,note normale arial,ftref,Footnotes refss,Fussnota,note TE"/>
    <w:uiPriority w:val="99"/>
    <w:rsid w:val="00580171"/>
    <w:rPr>
      <w:rFonts w:ascii="Calibri" w:hAnsi="Calibri"/>
      <w:sz w:val="16"/>
      <w:szCs w:val="20"/>
      <w:vertAlign w:val="superscript"/>
    </w:rPr>
  </w:style>
  <w:style w:type="character" w:styleId="Enfasigrassetto">
    <w:name w:val="Strong"/>
    <w:uiPriority w:val="22"/>
    <w:qFormat/>
    <w:rsid w:val="00580171"/>
    <w:rPr>
      <w:rFonts w:cs="Times New Roman"/>
      <w:b/>
      <w:bCs/>
    </w:rPr>
  </w:style>
  <w:style w:type="character" w:styleId="Enfasicorsivo">
    <w:name w:val="Emphasis"/>
    <w:uiPriority w:val="20"/>
    <w:qFormat/>
    <w:rsid w:val="00580171"/>
    <w:rPr>
      <w:i/>
      <w:iCs/>
    </w:rPr>
  </w:style>
  <w:style w:type="character" w:styleId="Rimandocommento">
    <w:name w:val="annotation reference"/>
    <w:uiPriority w:val="99"/>
    <w:semiHidden/>
    <w:rsid w:val="005801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80171"/>
    <w:rPr>
      <w:rFonts w:ascii="Simoncini Garamond" w:hAnsi="Simoncini Garamond"/>
      <w:sz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80171"/>
    <w:rPr>
      <w:rFonts w:ascii="Simoncini Garamond" w:hAnsi="Simoncini Garamond"/>
      <w:sz w:val="20"/>
      <w:lang w:val="x-none" w:eastAsia="x-none"/>
    </w:rPr>
  </w:style>
  <w:style w:type="character" w:styleId="Collegamentoipertestuale">
    <w:name w:val="Hyperlink"/>
    <w:uiPriority w:val="99"/>
    <w:unhideWhenUsed/>
    <w:rsid w:val="0058017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80171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Grigliatab31">
    <w:name w:val="Griglia tab. 31"/>
    <w:basedOn w:val="Titolo1"/>
    <w:next w:val="Normale"/>
    <w:uiPriority w:val="39"/>
    <w:unhideWhenUsed/>
    <w:rsid w:val="00580171"/>
    <w:pPr>
      <w:numPr>
        <w:numId w:val="1"/>
      </w:numPr>
      <w:tabs>
        <w:tab w:val="num" w:pos="360"/>
      </w:tabs>
      <w:spacing w:before="480" w:line="276" w:lineRule="auto"/>
      <w:ind w:left="0" w:firstLine="0"/>
      <w:jc w:val="both"/>
      <w:outlineLvl w:val="9"/>
    </w:pPr>
    <w:rPr>
      <w:rFonts w:ascii="Cambria" w:eastAsia="Times New Roman" w:hAnsi="Cambria" w:cs="Times New Roman"/>
      <w:b/>
      <w:bCs/>
      <w:smallCaps/>
      <w:color w:val="365F91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80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17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83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inap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Inapp</dc:creator>
  <cp:keywords/>
  <dc:description/>
  <cp:lastModifiedBy>Gentile Laura</cp:lastModifiedBy>
  <cp:revision>5</cp:revision>
  <dcterms:created xsi:type="dcterms:W3CDTF">2021-08-02T13:00:00Z</dcterms:created>
  <dcterms:modified xsi:type="dcterms:W3CDTF">2021-08-04T10:22:00Z</dcterms:modified>
</cp:coreProperties>
</file>